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45B529">
      <w:pPr>
        <w:pStyle w:val="4"/>
        <w:ind w:firstLine="0" w:firstLineChars="0"/>
      </w:pPr>
      <w:r>
        <w:rPr>
          <w:rFonts w:hint="eastAsia"/>
        </w:rPr>
        <w:t>评分标准</w:t>
      </w:r>
      <w:r>
        <w:rPr>
          <w:rFonts w:hint="eastAsia"/>
          <w:color w:val="auto"/>
        </w:rPr>
        <w:t>：机电一体化实训中心改造开</w:t>
      </w:r>
      <w:r>
        <w:rPr>
          <w:rFonts w:hint="eastAsia"/>
        </w:rPr>
        <w:t>标评分表</w:t>
      </w:r>
    </w:p>
    <w:tbl>
      <w:tblPr>
        <w:tblStyle w:val="9"/>
        <w:tblW w:w="59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898"/>
        <w:gridCol w:w="389"/>
        <w:gridCol w:w="415"/>
        <w:gridCol w:w="302"/>
        <w:gridCol w:w="6620"/>
        <w:gridCol w:w="731"/>
      </w:tblGrid>
      <w:tr w14:paraId="503F7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822" w:type="pct"/>
            <w:gridSpan w:val="2"/>
            <w:tcBorders>
              <w:top w:val="single" w:color="auto" w:sz="4" w:space="0"/>
              <w:left w:val="single" w:color="auto" w:sz="4" w:space="0"/>
              <w:right w:val="single" w:color="auto" w:sz="4" w:space="0"/>
            </w:tcBorders>
            <w:shd w:val="clear" w:color="auto" w:fill="EEECE1"/>
            <w:vAlign w:val="center"/>
          </w:tcPr>
          <w:p w14:paraId="11F50CC9">
            <w:pPr>
              <w:adjustRightInd w:val="0"/>
              <w:snapToGrid w:val="0"/>
              <w:spacing w:line="320" w:lineRule="exact"/>
              <w:jc w:val="center"/>
              <w:rPr>
                <w:rFonts w:ascii="宋体" w:hAnsi="宋体" w:cs="宋体"/>
                <w:b/>
                <w:szCs w:val="21"/>
                <w:lang w:val="zh-CN"/>
              </w:rPr>
            </w:pPr>
            <w:r>
              <w:rPr>
                <w:rFonts w:hint="eastAsia" w:ascii="宋体" w:hAnsi="宋体" w:cs="宋体"/>
                <w:b/>
                <w:szCs w:val="21"/>
                <w:lang w:val="zh-CN"/>
              </w:rPr>
              <w:t>项目</w:t>
            </w:r>
          </w:p>
        </w:tc>
        <w:tc>
          <w:tcPr>
            <w:tcW w:w="397" w:type="pct"/>
            <w:gridSpan w:val="2"/>
            <w:tcBorders>
              <w:top w:val="single" w:color="auto" w:sz="4" w:space="0"/>
              <w:left w:val="single" w:color="auto" w:sz="4" w:space="0"/>
              <w:right w:val="single" w:color="auto" w:sz="4" w:space="0"/>
            </w:tcBorders>
            <w:shd w:val="clear" w:color="auto" w:fill="EEECE1"/>
            <w:vAlign w:val="center"/>
          </w:tcPr>
          <w:p w14:paraId="39E1B9E5">
            <w:pPr>
              <w:adjustRightInd w:val="0"/>
              <w:snapToGrid w:val="0"/>
              <w:spacing w:line="320" w:lineRule="exact"/>
              <w:jc w:val="center"/>
              <w:rPr>
                <w:rFonts w:ascii="宋体" w:hAnsi="宋体" w:cs="宋体"/>
                <w:b/>
                <w:szCs w:val="21"/>
                <w:lang w:val="zh-CN"/>
              </w:rPr>
            </w:pPr>
            <w:r>
              <w:rPr>
                <w:rFonts w:hint="eastAsia" w:ascii="宋体" w:hAnsi="宋体" w:cs="宋体"/>
                <w:b/>
                <w:szCs w:val="21"/>
                <w:lang w:val="zh-CN"/>
              </w:rPr>
              <w:t>分值</w:t>
            </w:r>
          </w:p>
        </w:tc>
        <w:tc>
          <w:tcPr>
            <w:tcW w:w="3420" w:type="pct"/>
            <w:gridSpan w:val="2"/>
            <w:tcBorders>
              <w:top w:val="single" w:color="auto" w:sz="4" w:space="0"/>
              <w:left w:val="single" w:color="auto" w:sz="4" w:space="0"/>
              <w:right w:val="single" w:color="auto" w:sz="4" w:space="0"/>
            </w:tcBorders>
            <w:shd w:val="clear" w:color="auto" w:fill="EEECE1"/>
            <w:vAlign w:val="center"/>
          </w:tcPr>
          <w:p w14:paraId="50381392">
            <w:pPr>
              <w:adjustRightInd w:val="0"/>
              <w:snapToGrid w:val="0"/>
              <w:spacing w:line="320" w:lineRule="exact"/>
              <w:jc w:val="center"/>
              <w:rPr>
                <w:rFonts w:ascii="宋体" w:hAnsi="宋体" w:cs="宋体"/>
                <w:b/>
                <w:szCs w:val="21"/>
                <w:lang w:val="zh-CN"/>
              </w:rPr>
            </w:pPr>
            <w:r>
              <w:rPr>
                <w:rFonts w:hint="eastAsia" w:ascii="宋体" w:hAnsi="宋体" w:cs="宋体"/>
                <w:b/>
                <w:szCs w:val="21"/>
                <w:lang w:val="zh-CN"/>
              </w:rPr>
              <w:t>评分标准</w:t>
            </w:r>
          </w:p>
        </w:tc>
        <w:tc>
          <w:tcPr>
            <w:tcW w:w="361" w:type="pct"/>
            <w:shd w:val="clear" w:color="auto" w:fill="auto"/>
          </w:tcPr>
          <w:p w14:paraId="5EFD5A36">
            <w:pPr>
              <w:adjustRightInd w:val="0"/>
              <w:snapToGrid w:val="0"/>
              <w:spacing w:line="320" w:lineRule="exact"/>
              <w:jc w:val="center"/>
              <w:rPr>
                <w:rFonts w:ascii="宋体" w:hAnsi="宋体" w:cs="宋体"/>
                <w:b/>
                <w:szCs w:val="21"/>
                <w:lang w:val="zh-CN"/>
              </w:rPr>
            </w:pPr>
            <w:r>
              <w:rPr>
                <w:rFonts w:ascii="宋体" w:hAnsi="宋体" w:cs="宋体"/>
                <w:b/>
                <w:szCs w:val="21"/>
                <w:lang w:val="zh-CN"/>
              </w:rPr>
              <w:t>评分</w:t>
            </w:r>
          </w:p>
        </w:tc>
      </w:tr>
      <w:tr w14:paraId="190B2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2" w:hRule="atLeast"/>
          <w:jc w:val="center"/>
        </w:trPr>
        <w:tc>
          <w:tcPr>
            <w:tcW w:w="378" w:type="pct"/>
            <w:tcBorders>
              <w:top w:val="single" w:color="auto" w:sz="4" w:space="0"/>
              <w:left w:val="single" w:color="auto" w:sz="4" w:space="0"/>
              <w:bottom w:val="single" w:color="auto" w:sz="4" w:space="0"/>
              <w:right w:val="single" w:color="auto" w:sz="4" w:space="0"/>
            </w:tcBorders>
            <w:vAlign w:val="center"/>
          </w:tcPr>
          <w:p w14:paraId="4157A9C6">
            <w:pPr>
              <w:adjustRightInd w:val="0"/>
              <w:snapToGrid w:val="0"/>
              <w:spacing w:line="320" w:lineRule="exact"/>
              <w:jc w:val="center"/>
              <w:rPr>
                <w:rFonts w:hint="eastAsia" w:ascii="宋体" w:hAnsi="宋体" w:cs="宋体"/>
                <w:b/>
                <w:szCs w:val="21"/>
                <w:lang w:val="zh-CN"/>
              </w:rPr>
            </w:pPr>
            <w:r>
              <w:rPr>
                <w:rFonts w:hint="eastAsia" w:ascii="宋体" w:hAnsi="宋体" w:cs="宋体"/>
                <w:b/>
                <w:szCs w:val="21"/>
                <w:lang w:val="zh-CN"/>
              </w:rPr>
              <w:t>价格30分</w:t>
            </w:r>
          </w:p>
        </w:tc>
        <w:tc>
          <w:tcPr>
            <w:tcW w:w="444" w:type="pct"/>
            <w:tcBorders>
              <w:top w:val="single" w:color="auto" w:sz="4" w:space="0"/>
              <w:left w:val="single" w:color="auto" w:sz="4" w:space="0"/>
              <w:bottom w:val="single" w:color="auto" w:sz="4" w:space="0"/>
              <w:right w:val="single" w:color="auto" w:sz="4" w:space="0"/>
            </w:tcBorders>
            <w:vAlign w:val="center"/>
          </w:tcPr>
          <w:p w14:paraId="53C38E14">
            <w:pPr>
              <w:adjustRightInd w:val="0"/>
              <w:snapToGrid w:val="0"/>
              <w:spacing w:line="320" w:lineRule="exact"/>
              <w:jc w:val="center"/>
              <w:rPr>
                <w:rFonts w:hint="eastAsia" w:ascii="宋体" w:hAnsi="宋体" w:cs="宋体"/>
                <w:szCs w:val="21"/>
                <w:lang w:val="zh-CN"/>
              </w:rPr>
            </w:pPr>
            <w:r>
              <w:rPr>
                <w:rFonts w:hint="eastAsia" w:ascii="宋体" w:hAnsi="宋体" w:cs="宋体"/>
                <w:szCs w:val="21"/>
                <w:lang w:val="zh-CN"/>
              </w:rPr>
              <w:t>投标报价</w:t>
            </w:r>
          </w:p>
        </w:tc>
        <w:tc>
          <w:tcPr>
            <w:tcW w:w="397" w:type="pct"/>
            <w:gridSpan w:val="2"/>
            <w:tcBorders>
              <w:top w:val="single" w:color="auto" w:sz="4" w:space="0"/>
              <w:left w:val="single" w:color="auto" w:sz="4" w:space="0"/>
              <w:bottom w:val="single" w:color="auto" w:sz="4" w:space="0"/>
              <w:right w:val="single" w:color="auto" w:sz="4" w:space="0"/>
            </w:tcBorders>
            <w:vAlign w:val="center"/>
          </w:tcPr>
          <w:p w14:paraId="31EEF368">
            <w:pPr>
              <w:adjustRightInd w:val="0"/>
              <w:snapToGrid w:val="0"/>
              <w:spacing w:line="320" w:lineRule="exact"/>
              <w:jc w:val="center"/>
              <w:rPr>
                <w:rFonts w:hint="eastAsia" w:ascii="宋体" w:hAnsi="宋体" w:cs="宋体"/>
                <w:szCs w:val="21"/>
                <w:lang w:val="zh-CN"/>
              </w:rPr>
            </w:pPr>
            <w:r>
              <w:rPr>
                <w:rFonts w:hint="eastAsia" w:ascii="宋体" w:hAnsi="宋体" w:cs="宋体"/>
                <w:szCs w:val="21"/>
                <w:lang w:val="zh-CN"/>
              </w:rPr>
              <w:t>30</w:t>
            </w:r>
          </w:p>
        </w:tc>
        <w:tc>
          <w:tcPr>
            <w:tcW w:w="3420" w:type="pct"/>
            <w:gridSpan w:val="2"/>
            <w:tcBorders>
              <w:left w:val="single" w:color="auto" w:sz="4" w:space="0"/>
              <w:bottom w:val="single" w:color="auto" w:sz="4" w:space="0"/>
              <w:right w:val="single" w:color="auto" w:sz="4" w:space="0"/>
            </w:tcBorders>
            <w:vAlign w:val="center"/>
          </w:tcPr>
          <w:p w14:paraId="50D65838">
            <w:pPr>
              <w:adjustRightInd w:val="0"/>
              <w:snapToGrid w:val="0"/>
              <w:spacing w:line="320" w:lineRule="exact"/>
              <w:rPr>
                <w:rFonts w:ascii="宋体" w:hAnsi="宋体" w:cs="宋体"/>
                <w:szCs w:val="21"/>
                <w:lang w:val="zh-CN"/>
              </w:rPr>
            </w:pPr>
            <w:r>
              <w:rPr>
                <w:rFonts w:hint="eastAsia" w:ascii="宋体" w:hAnsi="宋体" w:cs="宋体"/>
                <w:szCs w:val="21"/>
                <w:lang w:val="zh-CN"/>
              </w:rPr>
              <w:t>该项统一采用低价优先法，即满足招标文件要求且投标价格最低的投标；报价为评标基准价，其价格满分为30分。其他投标供应商的价格分统一按照下列公式计算：投标报价得分＝（评标基准价/投标报价）×30％×100；</w:t>
            </w:r>
          </w:p>
        </w:tc>
        <w:tc>
          <w:tcPr>
            <w:tcW w:w="361" w:type="pct"/>
            <w:shd w:val="clear" w:color="auto" w:fill="auto"/>
            <w:vAlign w:val="center"/>
          </w:tcPr>
          <w:p w14:paraId="03F52A00">
            <w:pPr>
              <w:widowControl/>
              <w:jc w:val="center"/>
              <w:rPr>
                <w:rFonts w:ascii="宋体" w:hAnsi="宋体"/>
                <w:szCs w:val="21"/>
              </w:rPr>
            </w:pPr>
          </w:p>
        </w:tc>
      </w:tr>
      <w:tr w14:paraId="4B757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0" w:hRule="atLeast"/>
          <w:jc w:val="center"/>
        </w:trPr>
        <w:tc>
          <w:tcPr>
            <w:tcW w:w="378" w:type="pct"/>
            <w:vMerge w:val="restart"/>
            <w:tcBorders>
              <w:top w:val="single" w:color="auto" w:sz="4" w:space="0"/>
              <w:left w:val="single" w:color="auto" w:sz="4" w:space="0"/>
              <w:right w:val="single" w:color="auto" w:sz="4" w:space="0"/>
            </w:tcBorders>
            <w:vAlign w:val="center"/>
          </w:tcPr>
          <w:p w14:paraId="237F74E2">
            <w:pPr>
              <w:adjustRightInd w:val="0"/>
              <w:snapToGrid w:val="0"/>
              <w:spacing w:line="320" w:lineRule="exact"/>
              <w:jc w:val="center"/>
              <w:rPr>
                <w:rFonts w:ascii="宋体" w:hAnsi="宋体" w:cs="宋体"/>
                <w:szCs w:val="21"/>
                <w:lang w:val="zh-CN"/>
              </w:rPr>
            </w:pPr>
            <w:r>
              <w:rPr>
                <w:rFonts w:hint="eastAsia" w:ascii="宋体" w:hAnsi="宋体" w:cs="宋体"/>
                <w:b/>
                <w:szCs w:val="21"/>
                <w:lang w:val="zh-CN"/>
              </w:rPr>
              <w:t>技术部分46</w:t>
            </w:r>
          </w:p>
        </w:tc>
        <w:tc>
          <w:tcPr>
            <w:tcW w:w="444" w:type="pct"/>
            <w:tcBorders>
              <w:top w:val="single" w:color="auto" w:sz="4" w:space="0"/>
              <w:left w:val="single" w:color="auto" w:sz="4" w:space="0"/>
              <w:right w:val="single" w:color="auto" w:sz="4" w:space="0"/>
            </w:tcBorders>
            <w:vAlign w:val="center"/>
          </w:tcPr>
          <w:p w14:paraId="6ED84133">
            <w:pPr>
              <w:pStyle w:val="20"/>
              <w:jc w:val="center"/>
              <w:rPr>
                <w:rFonts w:ascii="宋体" w:hAnsi="宋体" w:cs="宋体"/>
                <w:kern w:val="0"/>
                <w:szCs w:val="21"/>
                <w:lang w:val="zh-CN"/>
              </w:rPr>
            </w:pPr>
            <w:r>
              <w:rPr>
                <w:rFonts w:hint="eastAsia" w:ascii="宋体" w:hAnsi="宋体" w:cs="宋体"/>
                <w:kern w:val="0"/>
                <w:szCs w:val="21"/>
                <w:lang w:val="zh-CN"/>
              </w:rPr>
              <w:t>设备的性能</w:t>
            </w:r>
          </w:p>
        </w:tc>
        <w:tc>
          <w:tcPr>
            <w:tcW w:w="397" w:type="pct"/>
            <w:gridSpan w:val="2"/>
            <w:tcBorders>
              <w:top w:val="single" w:color="auto" w:sz="4" w:space="0"/>
              <w:left w:val="single" w:color="auto" w:sz="4" w:space="0"/>
              <w:right w:val="single" w:color="auto" w:sz="4" w:space="0"/>
            </w:tcBorders>
            <w:vAlign w:val="center"/>
          </w:tcPr>
          <w:p w14:paraId="6A6AD507">
            <w:pPr>
              <w:adjustRightInd w:val="0"/>
              <w:snapToGrid w:val="0"/>
              <w:spacing w:line="320" w:lineRule="exact"/>
              <w:jc w:val="center"/>
              <w:rPr>
                <w:rFonts w:ascii="宋体" w:hAnsi="宋体" w:cs="宋体"/>
                <w:szCs w:val="21"/>
              </w:rPr>
            </w:pPr>
            <w:r>
              <w:rPr>
                <w:rFonts w:hint="eastAsia" w:ascii="宋体" w:hAnsi="宋体" w:cs="宋体"/>
                <w:szCs w:val="21"/>
              </w:rPr>
              <w:t>15</w:t>
            </w:r>
          </w:p>
        </w:tc>
        <w:tc>
          <w:tcPr>
            <w:tcW w:w="3420" w:type="pct"/>
            <w:gridSpan w:val="2"/>
            <w:tcBorders>
              <w:top w:val="single" w:color="auto" w:sz="4" w:space="0"/>
              <w:left w:val="single" w:color="auto" w:sz="4" w:space="0"/>
              <w:right w:val="single" w:color="auto" w:sz="4" w:space="0"/>
            </w:tcBorders>
            <w:vAlign w:val="center"/>
          </w:tcPr>
          <w:p w14:paraId="5C32362A">
            <w:pPr>
              <w:adjustRightInd w:val="0"/>
              <w:snapToGrid w:val="0"/>
              <w:spacing w:line="320" w:lineRule="exact"/>
              <w:rPr>
                <w:rFonts w:hint="eastAsia" w:ascii="宋体" w:hAnsi="宋体" w:cs="宋体"/>
                <w:szCs w:val="21"/>
                <w:lang w:val="zh-CN"/>
              </w:rPr>
            </w:pPr>
            <w:r>
              <w:rPr>
                <w:rFonts w:hint="eastAsia" w:ascii="宋体" w:hAnsi="宋体" w:cs="宋体"/>
                <w:szCs w:val="21"/>
                <w:lang w:val="zh-CN"/>
              </w:rPr>
              <w:t>根据投标产品的基本功能、技术指标与需求的吻合程度和偏差情况（包括所投标产品的规格型号、配置、主要技术参数、及加工质量、工艺等描述），是否能够满足招标文件要求，是否体现一定先进性、可靠性、成熟性、易维护性、可扩展性等进行评分。</w:t>
            </w:r>
          </w:p>
          <w:p w14:paraId="6C2FACDE">
            <w:pPr>
              <w:adjustRightInd w:val="0"/>
              <w:snapToGrid w:val="0"/>
              <w:spacing w:line="320" w:lineRule="exact"/>
              <w:rPr>
                <w:rFonts w:hint="eastAsia" w:ascii="宋体" w:hAnsi="宋体" w:cs="宋体"/>
                <w:szCs w:val="21"/>
                <w:lang w:val="zh-CN"/>
              </w:rPr>
            </w:pPr>
            <w:r>
              <w:rPr>
                <w:rFonts w:hint="eastAsia" w:ascii="宋体" w:hAnsi="宋体" w:cs="宋体"/>
                <w:szCs w:val="21"/>
                <w:lang w:val="zh-CN"/>
              </w:rPr>
              <w:t>（1）能够满足或优于招标文件要求，针对性强，得 10-15 分；</w:t>
            </w:r>
          </w:p>
          <w:p w14:paraId="46456D17">
            <w:pPr>
              <w:adjustRightInd w:val="0"/>
              <w:snapToGrid w:val="0"/>
              <w:spacing w:line="320" w:lineRule="exact"/>
              <w:rPr>
                <w:rFonts w:hint="eastAsia" w:ascii="宋体" w:hAnsi="宋体" w:cs="宋体"/>
                <w:szCs w:val="21"/>
                <w:lang w:val="zh-CN"/>
              </w:rPr>
            </w:pPr>
            <w:r>
              <w:rPr>
                <w:rFonts w:hint="eastAsia" w:ascii="宋体" w:hAnsi="宋体" w:cs="宋体"/>
                <w:szCs w:val="21"/>
                <w:lang w:val="zh-CN"/>
              </w:rPr>
              <w:t>（2）基本满足招标文件要求，有一定的针对性的，得 4-9分；</w:t>
            </w:r>
          </w:p>
          <w:p w14:paraId="4377984D">
            <w:pPr>
              <w:adjustRightInd w:val="0"/>
              <w:snapToGrid w:val="0"/>
              <w:spacing w:line="320" w:lineRule="exact"/>
              <w:rPr>
                <w:rFonts w:ascii="宋体" w:hAnsi="宋体" w:cs="宋体"/>
                <w:b/>
                <w:szCs w:val="21"/>
                <w:lang w:val="zh-CN"/>
              </w:rPr>
            </w:pPr>
            <w:r>
              <w:rPr>
                <w:rFonts w:hint="eastAsia" w:ascii="宋体" w:hAnsi="宋体" w:cs="宋体"/>
                <w:szCs w:val="21"/>
                <w:lang w:val="zh-CN"/>
              </w:rPr>
              <w:t>（3）存在欠缺，有负偏离，针对性一般的，得 0-3 分</w:t>
            </w:r>
          </w:p>
        </w:tc>
        <w:tc>
          <w:tcPr>
            <w:tcW w:w="361" w:type="pct"/>
            <w:shd w:val="clear" w:color="auto" w:fill="auto"/>
            <w:vAlign w:val="center"/>
          </w:tcPr>
          <w:p w14:paraId="75F62552">
            <w:pPr>
              <w:widowControl/>
              <w:jc w:val="center"/>
              <w:rPr>
                <w:rFonts w:ascii="宋体" w:hAnsi="宋体"/>
                <w:szCs w:val="21"/>
              </w:rPr>
            </w:pPr>
          </w:p>
        </w:tc>
      </w:tr>
      <w:tr w14:paraId="0C220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378" w:type="pct"/>
            <w:vMerge w:val="continue"/>
            <w:tcBorders>
              <w:top w:val="single" w:color="auto" w:sz="4" w:space="0"/>
              <w:left w:val="single" w:color="auto" w:sz="4" w:space="0"/>
              <w:right w:val="single" w:color="auto" w:sz="4" w:space="0"/>
            </w:tcBorders>
            <w:vAlign w:val="center"/>
          </w:tcPr>
          <w:p w14:paraId="68B55C57">
            <w:pPr>
              <w:adjustRightInd w:val="0"/>
              <w:snapToGrid w:val="0"/>
              <w:spacing w:line="320" w:lineRule="exact"/>
              <w:jc w:val="center"/>
              <w:rPr>
                <w:rFonts w:hint="eastAsia" w:ascii="宋体" w:hAnsi="宋体" w:cs="宋体"/>
                <w:b/>
                <w:szCs w:val="21"/>
                <w:lang w:val="zh-CN"/>
              </w:rPr>
            </w:pPr>
          </w:p>
        </w:tc>
        <w:tc>
          <w:tcPr>
            <w:tcW w:w="444" w:type="pct"/>
            <w:tcBorders>
              <w:top w:val="single" w:color="auto" w:sz="4" w:space="0"/>
              <w:left w:val="single" w:color="auto" w:sz="4" w:space="0"/>
              <w:bottom w:val="single" w:color="auto" w:sz="4" w:space="0"/>
              <w:right w:val="single" w:color="auto" w:sz="4" w:space="0"/>
            </w:tcBorders>
            <w:vAlign w:val="center"/>
          </w:tcPr>
          <w:p w14:paraId="68074D9D">
            <w:pPr>
              <w:pStyle w:val="20"/>
              <w:jc w:val="center"/>
              <w:rPr>
                <w:rFonts w:hint="eastAsia" w:ascii="宋体" w:hAnsi="宋体" w:cs="宋体"/>
                <w:kern w:val="0"/>
                <w:szCs w:val="21"/>
                <w:lang w:val="zh-CN"/>
              </w:rPr>
            </w:pPr>
            <w:r>
              <w:rPr>
                <w:rFonts w:hint="eastAsia" w:ascii="宋体" w:hAnsi="宋体" w:cs="宋体"/>
                <w:kern w:val="0"/>
                <w:szCs w:val="21"/>
                <w:lang w:val="zh-CN"/>
              </w:rPr>
              <w:t>重要参数的响应度</w:t>
            </w:r>
          </w:p>
        </w:tc>
        <w:tc>
          <w:tcPr>
            <w:tcW w:w="397" w:type="pct"/>
            <w:gridSpan w:val="2"/>
            <w:tcBorders>
              <w:top w:val="single" w:color="auto" w:sz="4" w:space="0"/>
              <w:left w:val="single" w:color="auto" w:sz="4" w:space="0"/>
              <w:bottom w:val="single" w:color="auto" w:sz="4" w:space="0"/>
              <w:right w:val="single" w:color="auto" w:sz="4" w:space="0"/>
            </w:tcBorders>
            <w:vAlign w:val="center"/>
          </w:tcPr>
          <w:p w14:paraId="685E0754">
            <w:pPr>
              <w:adjustRightInd w:val="0"/>
              <w:snapToGrid w:val="0"/>
              <w:spacing w:line="320" w:lineRule="exact"/>
              <w:jc w:val="center"/>
              <w:rPr>
                <w:rFonts w:hint="eastAsia" w:ascii="宋体" w:hAnsi="宋体" w:cs="宋体"/>
                <w:szCs w:val="21"/>
              </w:rPr>
            </w:pPr>
            <w:r>
              <w:rPr>
                <w:rFonts w:hint="eastAsia" w:ascii="宋体" w:hAnsi="宋体" w:cs="宋体"/>
                <w:szCs w:val="21"/>
              </w:rPr>
              <w:t>25</w:t>
            </w:r>
          </w:p>
        </w:tc>
        <w:tc>
          <w:tcPr>
            <w:tcW w:w="3420" w:type="pct"/>
            <w:gridSpan w:val="2"/>
            <w:tcBorders>
              <w:top w:val="single" w:color="auto" w:sz="4" w:space="0"/>
              <w:left w:val="single" w:color="auto" w:sz="4" w:space="0"/>
              <w:bottom w:val="single" w:color="auto" w:sz="4" w:space="0"/>
              <w:right w:val="single" w:color="auto" w:sz="4" w:space="0"/>
            </w:tcBorders>
            <w:vAlign w:val="center"/>
          </w:tcPr>
          <w:p w14:paraId="72A51FF4">
            <w:pPr>
              <w:adjustRightInd w:val="0"/>
              <w:snapToGrid w:val="0"/>
              <w:spacing w:line="320" w:lineRule="exact"/>
              <w:rPr>
                <w:rFonts w:hint="eastAsia" w:ascii="宋体" w:hAnsi="宋体" w:cs="宋体"/>
                <w:szCs w:val="21"/>
                <w:lang w:val="zh-CN"/>
              </w:rPr>
            </w:pPr>
            <w:r>
              <w:rPr>
                <w:rFonts w:hint="eastAsia" w:ascii="宋体" w:hAnsi="宋体" w:cs="宋体"/>
                <w:szCs w:val="21"/>
                <w:lang w:val="zh-CN"/>
              </w:rPr>
              <w:t>▲号条款不满足每条扣 2 分。扣至 0 分为止；</w:t>
            </w:r>
          </w:p>
          <w:p w14:paraId="2FF1AC5D">
            <w:pPr>
              <w:adjustRightInd w:val="0"/>
              <w:snapToGrid w:val="0"/>
              <w:spacing w:line="320" w:lineRule="exact"/>
              <w:rPr>
                <w:rFonts w:hint="eastAsia" w:ascii="宋体" w:hAnsi="宋体" w:cs="宋体"/>
                <w:szCs w:val="21"/>
                <w:lang w:val="zh-CN"/>
              </w:rPr>
            </w:pPr>
            <w:r>
              <w:rPr>
                <w:rFonts w:hint="eastAsia" w:ascii="宋体" w:hAnsi="宋体" w:cs="宋体"/>
                <w:b/>
                <w:szCs w:val="21"/>
                <w:lang w:val="zh-CN"/>
              </w:rPr>
              <w:t>（需提供相关证明材料，不提供不得分）</w:t>
            </w:r>
          </w:p>
        </w:tc>
        <w:tc>
          <w:tcPr>
            <w:tcW w:w="361" w:type="pct"/>
            <w:shd w:val="clear" w:color="auto" w:fill="auto"/>
            <w:vAlign w:val="center"/>
          </w:tcPr>
          <w:p w14:paraId="4A4C325D">
            <w:pPr>
              <w:widowControl/>
              <w:jc w:val="center"/>
              <w:rPr>
                <w:rFonts w:ascii="宋体" w:hAnsi="宋体"/>
                <w:szCs w:val="21"/>
              </w:rPr>
            </w:pPr>
          </w:p>
        </w:tc>
      </w:tr>
      <w:tr w14:paraId="7A603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9" w:hRule="atLeast"/>
          <w:jc w:val="center"/>
        </w:trPr>
        <w:tc>
          <w:tcPr>
            <w:tcW w:w="378" w:type="pct"/>
            <w:vMerge w:val="continue"/>
            <w:tcBorders>
              <w:top w:val="single" w:color="auto" w:sz="4" w:space="0"/>
              <w:left w:val="single" w:color="auto" w:sz="4" w:space="0"/>
              <w:right w:val="single" w:color="auto" w:sz="4" w:space="0"/>
            </w:tcBorders>
            <w:vAlign w:val="center"/>
          </w:tcPr>
          <w:p w14:paraId="4A5AEC7E">
            <w:pPr>
              <w:adjustRightInd w:val="0"/>
              <w:snapToGrid w:val="0"/>
              <w:spacing w:line="320" w:lineRule="exact"/>
              <w:jc w:val="center"/>
              <w:rPr>
                <w:rFonts w:hint="eastAsia" w:ascii="宋体" w:hAnsi="宋体" w:cs="宋体"/>
                <w:b/>
                <w:szCs w:val="21"/>
                <w:lang w:val="zh-CN"/>
              </w:rPr>
            </w:pPr>
          </w:p>
        </w:tc>
        <w:tc>
          <w:tcPr>
            <w:tcW w:w="444" w:type="pct"/>
            <w:tcBorders>
              <w:top w:val="single" w:color="auto" w:sz="4" w:space="0"/>
              <w:left w:val="single" w:color="auto" w:sz="4" w:space="0"/>
              <w:right w:val="single" w:color="auto" w:sz="4" w:space="0"/>
            </w:tcBorders>
            <w:vAlign w:val="center"/>
          </w:tcPr>
          <w:p w14:paraId="05198941">
            <w:pPr>
              <w:pStyle w:val="20"/>
              <w:rPr>
                <w:rFonts w:hint="eastAsia" w:ascii="宋体" w:hAnsi="宋体" w:cs="宋体"/>
                <w:kern w:val="0"/>
                <w:szCs w:val="21"/>
                <w:lang w:val="zh-CN"/>
              </w:rPr>
            </w:pPr>
            <w:r>
              <w:rPr>
                <w:rFonts w:hint="eastAsia" w:ascii="宋体" w:hAnsi="宋体" w:cs="宋体"/>
                <w:kern w:val="0"/>
                <w:szCs w:val="21"/>
                <w:lang w:val="zh-CN"/>
              </w:rPr>
              <w:t>安装、调试方案</w:t>
            </w:r>
          </w:p>
        </w:tc>
        <w:tc>
          <w:tcPr>
            <w:tcW w:w="397" w:type="pct"/>
            <w:gridSpan w:val="2"/>
            <w:tcBorders>
              <w:top w:val="single" w:color="auto" w:sz="4" w:space="0"/>
              <w:left w:val="single" w:color="auto" w:sz="4" w:space="0"/>
              <w:right w:val="single" w:color="auto" w:sz="4" w:space="0"/>
            </w:tcBorders>
            <w:vAlign w:val="center"/>
          </w:tcPr>
          <w:p w14:paraId="5CF66A7C">
            <w:pPr>
              <w:adjustRightInd w:val="0"/>
              <w:snapToGrid w:val="0"/>
              <w:spacing w:line="320" w:lineRule="exact"/>
              <w:jc w:val="center"/>
              <w:rPr>
                <w:rFonts w:hint="eastAsia" w:ascii="宋体" w:hAnsi="宋体" w:cs="宋体"/>
                <w:szCs w:val="21"/>
              </w:rPr>
            </w:pPr>
            <w:r>
              <w:rPr>
                <w:rFonts w:hint="eastAsia" w:ascii="宋体" w:hAnsi="宋体" w:cs="宋体"/>
                <w:szCs w:val="21"/>
              </w:rPr>
              <w:t>6</w:t>
            </w:r>
          </w:p>
        </w:tc>
        <w:tc>
          <w:tcPr>
            <w:tcW w:w="3420" w:type="pct"/>
            <w:gridSpan w:val="2"/>
            <w:tcBorders>
              <w:top w:val="single" w:color="auto" w:sz="4" w:space="0"/>
              <w:left w:val="single" w:color="auto" w:sz="4" w:space="0"/>
              <w:right w:val="single" w:color="auto" w:sz="4" w:space="0"/>
            </w:tcBorders>
            <w:vAlign w:val="center"/>
          </w:tcPr>
          <w:p w14:paraId="008B98C1">
            <w:pPr>
              <w:adjustRightInd w:val="0"/>
              <w:snapToGrid w:val="0"/>
              <w:spacing w:line="320" w:lineRule="exact"/>
              <w:rPr>
                <w:rFonts w:hint="eastAsia" w:ascii="宋体" w:hAnsi="宋体" w:cs="宋体"/>
                <w:szCs w:val="21"/>
                <w:lang w:val="zh-CN"/>
              </w:rPr>
            </w:pPr>
            <w:r>
              <w:rPr>
                <w:rFonts w:hint="eastAsia" w:ascii="宋体" w:hAnsi="宋体" w:cs="宋体"/>
                <w:szCs w:val="21"/>
                <w:lang w:val="zh-CN"/>
              </w:rPr>
              <w:t>根据各投标人提供的安装、调试方案(包括安装、调试计划；安全安装、调试措施；调试现场清理）进行综合评价：</w:t>
            </w:r>
          </w:p>
          <w:p w14:paraId="6BBC9134">
            <w:pPr>
              <w:adjustRightInd w:val="0"/>
              <w:snapToGrid w:val="0"/>
              <w:spacing w:line="320" w:lineRule="exact"/>
              <w:rPr>
                <w:rFonts w:hint="eastAsia" w:ascii="宋体" w:hAnsi="宋体" w:cs="宋体"/>
                <w:szCs w:val="21"/>
                <w:lang w:val="zh-CN"/>
              </w:rPr>
            </w:pPr>
            <w:r>
              <w:rPr>
                <w:rFonts w:hint="eastAsia" w:ascii="宋体" w:hAnsi="宋体" w:cs="宋体"/>
                <w:szCs w:val="21"/>
                <w:lang w:val="zh-CN"/>
              </w:rPr>
              <w:t>（1）安装方案内容全面、具体，切实可行，计划完整、方案针对性强，能切实保障安装及调试需求，得 5-6 分；</w:t>
            </w:r>
          </w:p>
          <w:p w14:paraId="75199E9C">
            <w:pPr>
              <w:adjustRightInd w:val="0"/>
              <w:snapToGrid w:val="0"/>
              <w:spacing w:line="320" w:lineRule="exact"/>
              <w:rPr>
                <w:rFonts w:hint="eastAsia" w:ascii="宋体" w:hAnsi="宋体" w:cs="宋体"/>
                <w:szCs w:val="21"/>
                <w:lang w:val="zh-CN"/>
              </w:rPr>
            </w:pPr>
            <w:r>
              <w:rPr>
                <w:rFonts w:hint="eastAsia" w:ascii="宋体" w:hAnsi="宋体" w:cs="宋体"/>
                <w:szCs w:val="21"/>
                <w:lang w:val="zh-CN"/>
              </w:rPr>
              <w:t>（2）安装方案内容较全面，较可行，方案能基本保障安装及调试需求，得 3-4 分；</w:t>
            </w:r>
          </w:p>
          <w:p w14:paraId="5C48EA08">
            <w:pPr>
              <w:adjustRightInd w:val="0"/>
              <w:snapToGrid w:val="0"/>
              <w:spacing w:line="320" w:lineRule="exact"/>
              <w:rPr>
                <w:rFonts w:hint="eastAsia" w:ascii="宋体" w:hAnsi="宋体" w:cs="宋体"/>
                <w:szCs w:val="21"/>
                <w:lang w:val="zh-CN"/>
              </w:rPr>
            </w:pPr>
            <w:r>
              <w:rPr>
                <w:rFonts w:hint="eastAsia" w:ascii="宋体" w:hAnsi="宋体" w:cs="宋体"/>
                <w:szCs w:val="21"/>
                <w:lang w:val="zh-CN"/>
              </w:rPr>
              <w:t>（3）安装方案内容简单，不确定是否能保障安装及调试需求，得 0-2 分。</w:t>
            </w:r>
          </w:p>
        </w:tc>
        <w:tc>
          <w:tcPr>
            <w:tcW w:w="361" w:type="pct"/>
            <w:shd w:val="clear" w:color="auto" w:fill="auto"/>
            <w:vAlign w:val="center"/>
          </w:tcPr>
          <w:p w14:paraId="03FD8E19">
            <w:pPr>
              <w:widowControl/>
              <w:jc w:val="center"/>
              <w:rPr>
                <w:rFonts w:ascii="宋体" w:hAnsi="宋体"/>
                <w:szCs w:val="21"/>
              </w:rPr>
            </w:pPr>
          </w:p>
        </w:tc>
      </w:tr>
      <w:tr w14:paraId="23053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jc w:val="center"/>
        </w:trPr>
        <w:tc>
          <w:tcPr>
            <w:tcW w:w="378" w:type="pct"/>
            <w:vMerge w:val="restart"/>
            <w:tcBorders>
              <w:left w:val="single" w:color="auto" w:sz="4" w:space="0"/>
              <w:right w:val="single" w:color="auto" w:sz="4" w:space="0"/>
            </w:tcBorders>
            <w:vAlign w:val="center"/>
          </w:tcPr>
          <w:p w14:paraId="30E1C3A2">
            <w:pPr>
              <w:adjustRightInd w:val="0"/>
              <w:snapToGrid w:val="0"/>
              <w:spacing w:line="320" w:lineRule="exact"/>
              <w:jc w:val="center"/>
              <w:rPr>
                <w:rFonts w:ascii="宋体" w:hAnsi="宋体" w:cs="宋体"/>
                <w:b/>
                <w:szCs w:val="21"/>
                <w:lang w:val="zh-CN"/>
              </w:rPr>
            </w:pPr>
            <w:r>
              <w:rPr>
                <w:rFonts w:hint="eastAsia" w:ascii="宋体" w:hAnsi="宋体" w:cs="宋体"/>
                <w:b/>
                <w:szCs w:val="21"/>
                <w:lang w:val="zh-CN"/>
              </w:rPr>
              <w:t>售后部分19分</w:t>
            </w:r>
          </w:p>
        </w:tc>
        <w:tc>
          <w:tcPr>
            <w:tcW w:w="444" w:type="pct"/>
            <w:tcBorders>
              <w:top w:val="single" w:color="auto" w:sz="4" w:space="0"/>
              <w:left w:val="single" w:color="auto" w:sz="4" w:space="0"/>
              <w:right w:val="single" w:color="auto" w:sz="4" w:space="0"/>
            </w:tcBorders>
            <w:vAlign w:val="center"/>
          </w:tcPr>
          <w:p w14:paraId="7F48E079">
            <w:pPr>
              <w:adjustRightInd w:val="0"/>
              <w:snapToGrid w:val="0"/>
              <w:spacing w:line="320" w:lineRule="exact"/>
              <w:jc w:val="center"/>
              <w:rPr>
                <w:rFonts w:ascii="宋体" w:hAnsi="宋体" w:cs="宋体"/>
                <w:szCs w:val="21"/>
              </w:rPr>
            </w:pPr>
            <w:r>
              <w:rPr>
                <w:rFonts w:hint="eastAsia" w:ascii="宋体" w:hAnsi="宋体" w:cs="宋体"/>
                <w:szCs w:val="21"/>
              </w:rPr>
              <w:t>维修质保</w:t>
            </w:r>
          </w:p>
        </w:tc>
        <w:tc>
          <w:tcPr>
            <w:tcW w:w="397" w:type="pct"/>
            <w:gridSpan w:val="2"/>
            <w:tcBorders>
              <w:top w:val="single" w:color="auto" w:sz="4" w:space="0"/>
              <w:left w:val="single" w:color="auto" w:sz="4" w:space="0"/>
              <w:right w:val="single" w:color="auto" w:sz="4" w:space="0"/>
            </w:tcBorders>
            <w:vAlign w:val="center"/>
          </w:tcPr>
          <w:p w14:paraId="3DC20D8C">
            <w:pPr>
              <w:adjustRightInd w:val="0"/>
              <w:snapToGrid w:val="0"/>
              <w:spacing w:line="320" w:lineRule="exact"/>
              <w:jc w:val="center"/>
              <w:rPr>
                <w:rFonts w:ascii="宋体" w:hAnsi="宋体" w:cs="宋体"/>
                <w:szCs w:val="21"/>
              </w:rPr>
            </w:pPr>
            <w:r>
              <w:rPr>
                <w:rFonts w:hint="eastAsia" w:ascii="宋体" w:hAnsi="宋体" w:cs="宋体"/>
                <w:szCs w:val="21"/>
              </w:rPr>
              <w:t>10</w:t>
            </w:r>
          </w:p>
        </w:tc>
        <w:tc>
          <w:tcPr>
            <w:tcW w:w="3420" w:type="pct"/>
            <w:gridSpan w:val="2"/>
            <w:tcBorders>
              <w:top w:val="single" w:color="auto" w:sz="4" w:space="0"/>
              <w:left w:val="single" w:color="auto" w:sz="4" w:space="0"/>
              <w:right w:val="single" w:color="auto" w:sz="4" w:space="0"/>
            </w:tcBorders>
            <w:vAlign w:val="center"/>
          </w:tcPr>
          <w:p w14:paraId="46243E95">
            <w:pPr>
              <w:widowControl/>
              <w:adjustRightInd w:val="0"/>
              <w:snapToGrid w:val="0"/>
              <w:spacing w:before="156" w:beforeLines="50" w:after="156" w:afterLines="50" w:line="276" w:lineRule="auto"/>
              <w:rPr>
                <w:rFonts w:hint="eastAsia" w:ascii="宋体" w:hAnsi="宋体" w:cs="宋体"/>
                <w:szCs w:val="21"/>
                <w:lang w:val="zh-CN"/>
              </w:rPr>
            </w:pPr>
            <w:r>
              <w:rPr>
                <w:rFonts w:hint="eastAsia" w:ascii="宋体" w:hAnsi="宋体" w:cs="宋体"/>
                <w:szCs w:val="21"/>
                <w:lang w:val="zh-CN"/>
              </w:rPr>
              <w:t>（1）质保期限</w:t>
            </w:r>
            <w:r>
              <w:rPr>
                <w:rFonts w:hint="eastAsia" w:ascii="宋体" w:hAnsi="宋体" w:cs="宋体"/>
                <w:szCs w:val="21"/>
                <w:lang w:val="en-US" w:eastAsia="zh-CN"/>
              </w:rPr>
              <w:t>3年起，2分。</w:t>
            </w:r>
            <w:bookmarkStart w:id="0" w:name="_GoBack"/>
            <w:bookmarkEnd w:id="0"/>
            <w:r>
              <w:rPr>
                <w:rFonts w:hint="eastAsia" w:ascii="宋体" w:hAnsi="宋体" w:cs="宋体"/>
                <w:szCs w:val="21"/>
                <w:lang w:val="zh-CN"/>
              </w:rPr>
              <w:t>（最高6分，按每年2分档递</w:t>
            </w:r>
            <w:r>
              <w:rPr>
                <w:rFonts w:hint="eastAsia" w:ascii="宋体" w:hAnsi="宋体" w:cs="宋体"/>
                <w:szCs w:val="21"/>
                <w:lang w:val="en-US" w:eastAsia="zh-CN"/>
              </w:rPr>
              <w:t>增</w:t>
            </w:r>
            <w:r>
              <w:rPr>
                <w:rFonts w:hint="eastAsia" w:ascii="宋体" w:hAnsi="宋体" w:cs="宋体"/>
                <w:szCs w:val="21"/>
                <w:lang w:val="zh-CN"/>
              </w:rPr>
              <w:t>）</w:t>
            </w:r>
            <w:r>
              <w:rPr>
                <w:rFonts w:ascii="宋体" w:hAnsi="宋体" w:cs="宋体"/>
                <w:szCs w:val="21"/>
                <w:lang w:val="zh-CN"/>
              </w:rPr>
              <w:t xml:space="preserve"> </w:t>
            </w:r>
          </w:p>
          <w:p w14:paraId="63FC3605">
            <w:pPr>
              <w:widowControl/>
              <w:adjustRightInd w:val="0"/>
              <w:snapToGrid w:val="0"/>
              <w:spacing w:before="156" w:beforeLines="50" w:after="156" w:afterLines="50" w:line="276" w:lineRule="auto"/>
              <w:rPr>
                <w:rFonts w:ascii="宋体" w:hAnsi="宋体" w:cs="宋体"/>
                <w:szCs w:val="21"/>
                <w:lang w:val="zh-CN"/>
              </w:rPr>
            </w:pPr>
            <w:r>
              <w:rPr>
                <w:rFonts w:hint="eastAsia" w:ascii="宋体" w:hAnsi="宋体" w:cs="宋体"/>
                <w:kern w:val="0"/>
                <w:szCs w:val="21"/>
                <w:lang w:val="zh-CN"/>
              </w:rPr>
              <w:t>（2）质保期内，维修响应速度承诺，2分。按1分档从高到低排序。</w:t>
            </w:r>
          </w:p>
          <w:p w14:paraId="535E2151">
            <w:pPr>
              <w:pStyle w:val="2"/>
              <w:rPr>
                <w:rFonts w:ascii="宋体" w:hAnsi="宋体" w:eastAsia="宋体"/>
                <w:sz w:val="21"/>
                <w:szCs w:val="21"/>
                <w:lang w:val="zh-CN"/>
              </w:rPr>
            </w:pPr>
            <w:r>
              <w:rPr>
                <w:rFonts w:hint="eastAsia" w:ascii="宋体" w:hAnsi="宋体" w:eastAsia="宋体" w:cs="宋体"/>
                <w:kern w:val="0"/>
                <w:sz w:val="21"/>
                <w:szCs w:val="21"/>
                <w:lang w:val="zh-CN"/>
              </w:rPr>
              <w:t>（3）质保期后，维修响应速度承诺，2分。按1分档从高到低排序。</w:t>
            </w:r>
          </w:p>
        </w:tc>
        <w:tc>
          <w:tcPr>
            <w:tcW w:w="361" w:type="pct"/>
            <w:shd w:val="clear" w:color="auto" w:fill="auto"/>
            <w:vAlign w:val="center"/>
          </w:tcPr>
          <w:p w14:paraId="77181557">
            <w:pPr>
              <w:widowControl/>
              <w:jc w:val="center"/>
              <w:rPr>
                <w:rFonts w:ascii="宋体" w:hAnsi="宋体"/>
                <w:szCs w:val="21"/>
              </w:rPr>
            </w:pPr>
          </w:p>
        </w:tc>
      </w:tr>
      <w:tr w14:paraId="265B9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378" w:type="pct"/>
            <w:vMerge w:val="continue"/>
            <w:tcBorders>
              <w:left w:val="single" w:color="auto" w:sz="4" w:space="0"/>
              <w:right w:val="single" w:color="auto" w:sz="4" w:space="0"/>
            </w:tcBorders>
            <w:vAlign w:val="center"/>
          </w:tcPr>
          <w:p w14:paraId="1FA3D090">
            <w:pPr>
              <w:adjustRightInd w:val="0"/>
              <w:snapToGrid w:val="0"/>
              <w:spacing w:line="320" w:lineRule="exact"/>
              <w:jc w:val="center"/>
              <w:rPr>
                <w:rFonts w:hint="eastAsia" w:ascii="宋体" w:hAnsi="宋体" w:cs="宋体"/>
                <w:b/>
                <w:szCs w:val="21"/>
                <w:lang w:val="zh-CN"/>
              </w:rPr>
            </w:pPr>
          </w:p>
        </w:tc>
        <w:tc>
          <w:tcPr>
            <w:tcW w:w="444" w:type="pct"/>
            <w:tcBorders>
              <w:top w:val="single" w:color="auto" w:sz="4" w:space="0"/>
              <w:left w:val="single" w:color="auto" w:sz="4" w:space="0"/>
              <w:right w:val="single" w:color="auto" w:sz="4" w:space="0"/>
            </w:tcBorders>
            <w:vAlign w:val="center"/>
          </w:tcPr>
          <w:p w14:paraId="57A24D60">
            <w:pPr>
              <w:adjustRightInd w:val="0"/>
              <w:snapToGrid w:val="0"/>
              <w:spacing w:line="320" w:lineRule="exact"/>
              <w:jc w:val="center"/>
              <w:rPr>
                <w:rFonts w:hint="eastAsia" w:ascii="宋体" w:hAnsi="宋体" w:cs="宋体"/>
                <w:szCs w:val="21"/>
              </w:rPr>
            </w:pPr>
            <w:r>
              <w:rPr>
                <w:rFonts w:hint="eastAsia" w:ascii="宋体" w:hAnsi="宋体" w:cs="宋体"/>
                <w:szCs w:val="21"/>
              </w:rPr>
              <w:t>故障应急处理方案</w:t>
            </w:r>
          </w:p>
        </w:tc>
        <w:tc>
          <w:tcPr>
            <w:tcW w:w="397" w:type="pct"/>
            <w:gridSpan w:val="2"/>
            <w:tcBorders>
              <w:top w:val="single" w:color="auto" w:sz="4" w:space="0"/>
              <w:left w:val="single" w:color="auto" w:sz="4" w:space="0"/>
              <w:right w:val="single" w:color="auto" w:sz="4" w:space="0"/>
            </w:tcBorders>
            <w:vAlign w:val="center"/>
          </w:tcPr>
          <w:p w14:paraId="00BEF891">
            <w:pPr>
              <w:adjustRightInd w:val="0"/>
              <w:snapToGrid w:val="0"/>
              <w:spacing w:line="320" w:lineRule="exact"/>
              <w:jc w:val="center"/>
              <w:rPr>
                <w:rFonts w:hint="eastAsia" w:ascii="宋体" w:hAnsi="宋体" w:cs="宋体"/>
                <w:szCs w:val="21"/>
              </w:rPr>
            </w:pPr>
            <w:r>
              <w:rPr>
                <w:rFonts w:hint="eastAsia" w:ascii="宋体" w:hAnsi="宋体" w:cs="宋体"/>
                <w:szCs w:val="21"/>
              </w:rPr>
              <w:t>9</w:t>
            </w:r>
          </w:p>
        </w:tc>
        <w:tc>
          <w:tcPr>
            <w:tcW w:w="3420" w:type="pct"/>
            <w:gridSpan w:val="2"/>
            <w:tcBorders>
              <w:top w:val="single" w:color="auto" w:sz="4" w:space="0"/>
              <w:left w:val="single" w:color="auto" w:sz="4" w:space="0"/>
              <w:right w:val="single" w:color="auto" w:sz="4" w:space="0"/>
            </w:tcBorders>
            <w:vAlign w:val="center"/>
          </w:tcPr>
          <w:p w14:paraId="4394C559">
            <w:pPr>
              <w:adjustRightInd w:val="0"/>
              <w:snapToGrid w:val="0"/>
              <w:spacing w:line="320" w:lineRule="exact"/>
              <w:rPr>
                <w:rFonts w:hint="eastAsia" w:ascii="宋体" w:hAnsi="宋体" w:cs="宋体"/>
                <w:szCs w:val="21"/>
                <w:lang w:val="zh-CN"/>
              </w:rPr>
            </w:pPr>
            <w:r>
              <w:rPr>
                <w:rFonts w:hint="eastAsia" w:ascii="宋体" w:hAnsi="宋体" w:cs="宋体"/>
                <w:szCs w:val="21"/>
                <w:lang w:val="zh-CN"/>
              </w:rPr>
              <w:t>根据投标人提供的故障应急处理方案及应急响应方案（包 括详细的应急响应过程、方式及响应时间、故障修复时间等）进行综合评价：</w:t>
            </w:r>
          </w:p>
          <w:p w14:paraId="10216295">
            <w:pPr>
              <w:adjustRightInd w:val="0"/>
              <w:snapToGrid w:val="0"/>
              <w:spacing w:line="320" w:lineRule="exact"/>
              <w:rPr>
                <w:rFonts w:hint="eastAsia" w:ascii="宋体" w:hAnsi="宋体" w:cs="宋体"/>
                <w:szCs w:val="21"/>
                <w:lang w:val="zh-CN"/>
              </w:rPr>
            </w:pPr>
            <w:r>
              <w:rPr>
                <w:rFonts w:hint="eastAsia" w:ascii="宋体" w:hAnsi="宋体" w:cs="宋体"/>
                <w:szCs w:val="21"/>
                <w:lang w:val="zh-CN"/>
              </w:rPr>
              <w:t>（1）故障应急处理方案详细、有针对典型安全事件或风险是否有设计完善的应急预案以及应急演练剧本、响应时间明确并及时的，得8</w:t>
            </w:r>
            <w:r>
              <w:rPr>
                <w:rFonts w:ascii="宋体" w:hAnsi="宋体" w:cs="宋体"/>
                <w:szCs w:val="21"/>
                <w:lang w:val="zh-CN"/>
              </w:rPr>
              <w:t>-</w:t>
            </w:r>
            <w:r>
              <w:rPr>
                <w:rFonts w:hint="eastAsia" w:ascii="宋体" w:hAnsi="宋体" w:cs="宋体"/>
                <w:szCs w:val="21"/>
                <w:lang w:val="zh-CN"/>
              </w:rPr>
              <w:t>9</w:t>
            </w:r>
            <w:r>
              <w:rPr>
                <w:rFonts w:ascii="宋体" w:hAnsi="宋体" w:cs="宋体"/>
                <w:szCs w:val="21"/>
                <w:lang w:val="zh-CN"/>
              </w:rPr>
              <w:t xml:space="preserve"> </w:t>
            </w:r>
            <w:r>
              <w:rPr>
                <w:rFonts w:hint="eastAsia" w:ascii="宋体" w:hAnsi="宋体" w:cs="宋体"/>
                <w:szCs w:val="21"/>
                <w:lang w:val="zh-CN"/>
              </w:rPr>
              <w:t xml:space="preserve">分； </w:t>
            </w:r>
          </w:p>
          <w:p w14:paraId="13C64167">
            <w:pPr>
              <w:adjustRightInd w:val="0"/>
              <w:snapToGrid w:val="0"/>
              <w:spacing w:line="320" w:lineRule="exact"/>
              <w:rPr>
                <w:rFonts w:hint="eastAsia" w:ascii="宋体" w:hAnsi="宋体" w:cs="宋体"/>
                <w:szCs w:val="21"/>
                <w:lang w:val="zh-CN"/>
              </w:rPr>
            </w:pPr>
            <w:r>
              <w:rPr>
                <w:rFonts w:hint="eastAsia" w:ascii="宋体" w:hAnsi="宋体" w:cs="宋体"/>
                <w:szCs w:val="21"/>
                <w:lang w:val="zh-CN"/>
              </w:rPr>
              <w:t>（1）故障应急处理方案没有针对性、对典型安全事件或风险没 有具体的方案，应急预案以及应急演练剧本不详细、响应 时间不明确的得：得 6</w:t>
            </w:r>
            <w:r>
              <w:rPr>
                <w:rFonts w:ascii="宋体" w:hAnsi="宋体" w:cs="宋体"/>
                <w:szCs w:val="21"/>
                <w:lang w:val="zh-CN"/>
              </w:rPr>
              <w:t>-</w:t>
            </w:r>
            <w:r>
              <w:rPr>
                <w:rFonts w:hint="eastAsia" w:ascii="宋体" w:hAnsi="宋体" w:cs="宋体"/>
                <w:szCs w:val="21"/>
                <w:lang w:val="zh-CN"/>
              </w:rPr>
              <w:t>8</w:t>
            </w:r>
            <w:r>
              <w:rPr>
                <w:rFonts w:ascii="宋体" w:hAnsi="宋体" w:cs="宋体"/>
                <w:szCs w:val="21"/>
                <w:lang w:val="zh-CN"/>
              </w:rPr>
              <w:t xml:space="preserve"> </w:t>
            </w:r>
            <w:r>
              <w:rPr>
                <w:rFonts w:hint="eastAsia" w:ascii="宋体" w:hAnsi="宋体" w:cs="宋体"/>
                <w:szCs w:val="21"/>
                <w:lang w:val="zh-CN"/>
              </w:rPr>
              <w:t>分；</w:t>
            </w:r>
          </w:p>
          <w:p w14:paraId="44A9BDB5">
            <w:pPr>
              <w:adjustRightInd w:val="0"/>
              <w:snapToGrid w:val="0"/>
              <w:spacing w:line="320" w:lineRule="exact"/>
              <w:rPr>
                <w:rFonts w:hint="eastAsia" w:ascii="宋体" w:hAnsi="宋体" w:cs="宋体"/>
                <w:szCs w:val="21"/>
                <w:lang w:val="zh-CN"/>
              </w:rPr>
            </w:pPr>
            <w:r>
              <w:rPr>
                <w:rFonts w:hint="eastAsia" w:ascii="宋体" w:hAnsi="宋体" w:cs="宋体"/>
                <w:szCs w:val="21"/>
                <w:lang w:val="zh-CN"/>
              </w:rPr>
              <w:t xml:space="preserve">（1）故障应急处理方案简单、对典型安全事件或风险的方案无针对性，应急预案以及应急演练剧本有缺漏、未写明响应 时间得：得 </w:t>
            </w:r>
            <w:r>
              <w:rPr>
                <w:rFonts w:ascii="宋体" w:hAnsi="宋体" w:cs="宋体"/>
                <w:szCs w:val="21"/>
                <w:lang w:val="zh-CN"/>
              </w:rPr>
              <w:t>0-</w:t>
            </w:r>
            <w:r>
              <w:rPr>
                <w:rFonts w:hint="eastAsia" w:ascii="宋体" w:hAnsi="宋体" w:cs="宋体"/>
                <w:szCs w:val="21"/>
                <w:lang w:val="zh-CN"/>
              </w:rPr>
              <w:t>6</w:t>
            </w:r>
            <w:r>
              <w:rPr>
                <w:rFonts w:ascii="宋体" w:hAnsi="宋体" w:cs="宋体"/>
                <w:szCs w:val="21"/>
                <w:lang w:val="zh-CN"/>
              </w:rPr>
              <w:t xml:space="preserve"> </w:t>
            </w:r>
            <w:r>
              <w:rPr>
                <w:rFonts w:hint="eastAsia" w:ascii="宋体" w:hAnsi="宋体" w:cs="宋体"/>
                <w:szCs w:val="21"/>
                <w:lang w:val="zh-CN"/>
              </w:rPr>
              <w:t>分。</w:t>
            </w:r>
          </w:p>
        </w:tc>
        <w:tc>
          <w:tcPr>
            <w:tcW w:w="361" w:type="pct"/>
            <w:shd w:val="clear" w:color="auto" w:fill="auto"/>
            <w:vAlign w:val="center"/>
          </w:tcPr>
          <w:p w14:paraId="192877A2">
            <w:pPr>
              <w:widowControl/>
              <w:jc w:val="center"/>
              <w:rPr>
                <w:rFonts w:ascii="宋体" w:hAnsi="宋体"/>
                <w:szCs w:val="21"/>
              </w:rPr>
            </w:pPr>
          </w:p>
        </w:tc>
      </w:tr>
      <w:tr w14:paraId="23174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378" w:type="pct"/>
            <w:tcBorders>
              <w:left w:val="single" w:color="auto" w:sz="4" w:space="0"/>
              <w:right w:val="single" w:color="auto" w:sz="4" w:space="0"/>
            </w:tcBorders>
            <w:vAlign w:val="center"/>
          </w:tcPr>
          <w:p w14:paraId="225AE15F">
            <w:pPr>
              <w:adjustRightInd w:val="0"/>
              <w:snapToGrid w:val="0"/>
              <w:spacing w:line="320" w:lineRule="exact"/>
              <w:jc w:val="center"/>
              <w:rPr>
                <w:rFonts w:hint="eastAsia" w:ascii="宋体" w:hAnsi="宋体" w:cs="宋体"/>
                <w:b/>
                <w:szCs w:val="21"/>
                <w:lang w:val="zh-CN"/>
              </w:rPr>
            </w:pPr>
            <w:r>
              <w:rPr>
                <w:rFonts w:hint="eastAsia" w:ascii="宋体" w:hAnsi="宋体" w:cs="宋体"/>
                <w:b/>
                <w:szCs w:val="21"/>
                <w:lang w:val="zh-CN"/>
              </w:rPr>
              <w:t>业绩</w:t>
            </w:r>
          </w:p>
          <w:p w14:paraId="0213F2D8">
            <w:pPr>
              <w:pStyle w:val="2"/>
              <w:rPr>
                <w:rFonts w:hint="eastAsia" w:ascii="宋体" w:hAnsi="宋体" w:eastAsia="宋体"/>
                <w:sz w:val="21"/>
                <w:szCs w:val="21"/>
                <w:lang w:val="zh-CN"/>
              </w:rPr>
            </w:pPr>
            <w:r>
              <w:rPr>
                <w:rFonts w:hint="eastAsia" w:ascii="宋体" w:hAnsi="宋体" w:eastAsia="宋体" w:cs="宋体"/>
                <w:b/>
                <w:sz w:val="21"/>
                <w:szCs w:val="21"/>
              </w:rPr>
              <w:t>5分</w:t>
            </w:r>
          </w:p>
        </w:tc>
        <w:tc>
          <w:tcPr>
            <w:tcW w:w="444" w:type="pct"/>
            <w:tcBorders>
              <w:top w:val="single" w:color="auto" w:sz="4" w:space="0"/>
              <w:left w:val="single" w:color="auto" w:sz="4" w:space="0"/>
              <w:right w:val="single" w:color="auto" w:sz="4" w:space="0"/>
            </w:tcBorders>
            <w:vAlign w:val="center"/>
          </w:tcPr>
          <w:p w14:paraId="09C45179">
            <w:pPr>
              <w:adjustRightInd w:val="0"/>
              <w:snapToGrid w:val="0"/>
              <w:spacing w:line="320" w:lineRule="exact"/>
              <w:jc w:val="center"/>
              <w:rPr>
                <w:rFonts w:hint="eastAsia" w:ascii="宋体" w:hAnsi="宋体" w:cs="宋体"/>
                <w:szCs w:val="21"/>
              </w:rPr>
            </w:pPr>
            <w:r>
              <w:rPr>
                <w:rFonts w:hint="eastAsia" w:ascii="宋体" w:hAnsi="宋体" w:cs="宋体"/>
                <w:b/>
                <w:szCs w:val="21"/>
                <w:lang w:val="zh-CN"/>
              </w:rPr>
              <w:t>类似项目业绩</w:t>
            </w:r>
          </w:p>
        </w:tc>
        <w:tc>
          <w:tcPr>
            <w:tcW w:w="397" w:type="pct"/>
            <w:gridSpan w:val="2"/>
            <w:tcBorders>
              <w:top w:val="single" w:color="auto" w:sz="4" w:space="0"/>
              <w:left w:val="single" w:color="auto" w:sz="4" w:space="0"/>
              <w:right w:val="single" w:color="auto" w:sz="4" w:space="0"/>
            </w:tcBorders>
            <w:vAlign w:val="center"/>
          </w:tcPr>
          <w:p w14:paraId="63FE6E69">
            <w:pPr>
              <w:adjustRightInd w:val="0"/>
              <w:snapToGrid w:val="0"/>
              <w:spacing w:line="320" w:lineRule="exact"/>
              <w:jc w:val="center"/>
              <w:rPr>
                <w:rFonts w:hint="eastAsia" w:ascii="宋体" w:hAnsi="宋体" w:cs="宋体"/>
                <w:szCs w:val="21"/>
              </w:rPr>
            </w:pPr>
            <w:r>
              <w:rPr>
                <w:rFonts w:hint="eastAsia" w:ascii="宋体" w:hAnsi="宋体" w:cs="宋体"/>
                <w:szCs w:val="21"/>
              </w:rPr>
              <w:t>5</w:t>
            </w:r>
          </w:p>
        </w:tc>
        <w:tc>
          <w:tcPr>
            <w:tcW w:w="3420" w:type="pct"/>
            <w:gridSpan w:val="2"/>
            <w:tcBorders>
              <w:top w:val="single" w:color="auto" w:sz="4" w:space="0"/>
              <w:left w:val="single" w:color="auto" w:sz="4" w:space="0"/>
              <w:right w:val="single" w:color="auto" w:sz="4" w:space="0"/>
            </w:tcBorders>
            <w:vAlign w:val="center"/>
          </w:tcPr>
          <w:p w14:paraId="6969C9DE">
            <w:pPr>
              <w:adjustRightInd w:val="0"/>
              <w:snapToGrid w:val="0"/>
              <w:spacing w:line="320" w:lineRule="exact"/>
              <w:rPr>
                <w:rFonts w:hint="eastAsia" w:ascii="宋体" w:hAnsi="宋体" w:cs="宋体"/>
                <w:szCs w:val="21"/>
                <w:lang w:val="zh-CN"/>
              </w:rPr>
            </w:pPr>
            <w:r>
              <w:rPr>
                <w:rFonts w:hint="eastAsia" w:ascii="宋体" w:hAnsi="宋体" w:cs="宋体"/>
                <w:szCs w:val="21"/>
                <w:lang w:val="zh-CN"/>
              </w:rPr>
              <w:t xml:space="preserve">由评标委员会根据投标人提供的近三年类似业绩进行认定。 有一个有效业绩得 </w:t>
            </w:r>
            <w:r>
              <w:rPr>
                <w:rFonts w:ascii="宋体" w:hAnsi="宋体" w:cs="宋体"/>
                <w:szCs w:val="21"/>
                <w:lang w:val="zh-CN"/>
              </w:rPr>
              <w:t xml:space="preserve">1 </w:t>
            </w:r>
            <w:r>
              <w:rPr>
                <w:rFonts w:hint="eastAsia" w:ascii="宋体" w:hAnsi="宋体" w:cs="宋体"/>
                <w:szCs w:val="21"/>
                <w:lang w:val="zh-CN"/>
              </w:rPr>
              <w:t xml:space="preserve">分，每增加一个有效业绩加 </w:t>
            </w:r>
            <w:r>
              <w:rPr>
                <w:rFonts w:ascii="宋体" w:hAnsi="宋体" w:cs="宋体"/>
                <w:szCs w:val="21"/>
                <w:lang w:val="zh-CN"/>
              </w:rPr>
              <w:t xml:space="preserve">1 </w:t>
            </w:r>
            <w:r>
              <w:rPr>
                <w:rFonts w:hint="eastAsia" w:ascii="宋体" w:hAnsi="宋体" w:cs="宋体"/>
                <w:szCs w:val="21"/>
                <w:lang w:val="zh-CN"/>
              </w:rPr>
              <w:t xml:space="preserve">分，最 高得分为 </w:t>
            </w:r>
            <w:r>
              <w:rPr>
                <w:rFonts w:ascii="宋体" w:hAnsi="宋体" w:cs="宋体"/>
                <w:szCs w:val="21"/>
                <w:lang w:val="zh-CN"/>
              </w:rPr>
              <w:t xml:space="preserve">5 </w:t>
            </w:r>
            <w:r>
              <w:rPr>
                <w:rFonts w:hint="eastAsia" w:ascii="宋体" w:hAnsi="宋体" w:cs="宋体"/>
                <w:szCs w:val="21"/>
                <w:lang w:val="zh-CN"/>
              </w:rPr>
              <w:t xml:space="preserve">分，没有有效的类似项目业绩的得 </w:t>
            </w:r>
            <w:r>
              <w:rPr>
                <w:rFonts w:ascii="宋体" w:hAnsi="宋体" w:cs="宋体"/>
                <w:szCs w:val="21"/>
                <w:lang w:val="zh-CN"/>
              </w:rPr>
              <w:t xml:space="preserve">0 </w:t>
            </w:r>
            <w:r>
              <w:rPr>
                <w:rFonts w:hint="eastAsia" w:ascii="宋体" w:hAnsi="宋体" w:cs="宋体"/>
                <w:szCs w:val="21"/>
                <w:lang w:val="zh-CN"/>
              </w:rPr>
              <w:t>分。 （需提供项目合同或中标通知书复印件加盖公章）</w:t>
            </w:r>
          </w:p>
        </w:tc>
        <w:tc>
          <w:tcPr>
            <w:tcW w:w="361" w:type="pct"/>
            <w:shd w:val="clear" w:color="auto" w:fill="auto"/>
            <w:vAlign w:val="center"/>
          </w:tcPr>
          <w:p w14:paraId="49C1700C">
            <w:pPr>
              <w:widowControl/>
              <w:jc w:val="center"/>
              <w:rPr>
                <w:rFonts w:ascii="宋体" w:hAnsi="宋体"/>
                <w:szCs w:val="21"/>
              </w:rPr>
            </w:pPr>
          </w:p>
        </w:tc>
      </w:tr>
      <w:tr w14:paraId="519C8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4639" w:type="pct"/>
            <w:gridSpan w:val="6"/>
            <w:tcBorders>
              <w:left w:val="single" w:color="auto" w:sz="4" w:space="0"/>
              <w:right w:val="single" w:color="auto" w:sz="4" w:space="0"/>
            </w:tcBorders>
            <w:vAlign w:val="center"/>
          </w:tcPr>
          <w:p w14:paraId="7214CC4B">
            <w:pPr>
              <w:widowControl/>
              <w:adjustRightInd w:val="0"/>
              <w:snapToGrid w:val="0"/>
              <w:spacing w:before="156" w:beforeLines="50" w:after="156" w:afterLines="50" w:line="276" w:lineRule="auto"/>
              <w:ind w:firstLine="420" w:firstLineChars="200"/>
              <w:rPr>
                <w:rFonts w:ascii="宋体" w:hAnsi="宋体" w:cs="宋体"/>
                <w:szCs w:val="21"/>
                <w:lang w:val="zh-CN"/>
              </w:rPr>
            </w:pPr>
            <w:r>
              <w:rPr>
                <w:rFonts w:hint="eastAsia" w:ascii="宋体" w:hAnsi="宋体" w:cs="宋体"/>
                <w:szCs w:val="21"/>
                <w:lang w:val="zh-CN"/>
              </w:rPr>
              <w:t>中标后，接采购人通知3个工作日内提供证书原件备查，如未提供，视为虚假应标处理，取消中标资格。</w:t>
            </w:r>
          </w:p>
        </w:tc>
        <w:tc>
          <w:tcPr>
            <w:tcW w:w="361" w:type="pct"/>
            <w:shd w:val="clear" w:color="auto" w:fill="auto"/>
            <w:vAlign w:val="center"/>
          </w:tcPr>
          <w:p w14:paraId="72B25529">
            <w:pPr>
              <w:widowControl/>
              <w:jc w:val="center"/>
              <w:rPr>
                <w:rFonts w:ascii="宋体" w:hAnsi="宋体"/>
                <w:szCs w:val="21"/>
              </w:rPr>
            </w:pPr>
          </w:p>
        </w:tc>
      </w:tr>
      <w:tr w14:paraId="4D6BB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014" w:type="pct"/>
            <w:gridSpan w:val="3"/>
            <w:tcBorders>
              <w:top w:val="single" w:color="auto" w:sz="4" w:space="0"/>
              <w:left w:val="single" w:color="auto" w:sz="4" w:space="0"/>
              <w:bottom w:val="single" w:color="auto" w:sz="4" w:space="0"/>
              <w:right w:val="single" w:color="auto" w:sz="4" w:space="0"/>
            </w:tcBorders>
            <w:vAlign w:val="center"/>
          </w:tcPr>
          <w:p w14:paraId="48FE799E">
            <w:pPr>
              <w:adjustRightInd w:val="0"/>
              <w:snapToGrid w:val="0"/>
              <w:spacing w:line="320" w:lineRule="exact"/>
              <w:jc w:val="center"/>
              <w:rPr>
                <w:rFonts w:ascii="宋体" w:hAnsi="宋体" w:cs="宋体"/>
                <w:b/>
                <w:szCs w:val="21"/>
                <w:lang w:val="zh-CN"/>
              </w:rPr>
            </w:pPr>
            <w:r>
              <w:rPr>
                <w:rFonts w:hint="eastAsia" w:ascii="宋体" w:hAnsi="宋体" w:cs="宋体"/>
                <w:b/>
                <w:szCs w:val="21"/>
                <w:lang w:val="zh-CN"/>
              </w:rPr>
              <w:t>总分</w:t>
            </w:r>
          </w:p>
        </w:tc>
        <w:tc>
          <w:tcPr>
            <w:tcW w:w="354" w:type="pct"/>
            <w:gridSpan w:val="2"/>
            <w:tcBorders>
              <w:top w:val="single" w:color="auto" w:sz="4" w:space="0"/>
              <w:left w:val="single" w:color="auto" w:sz="4" w:space="0"/>
              <w:bottom w:val="single" w:color="auto" w:sz="4" w:space="0"/>
              <w:right w:val="single" w:color="auto" w:sz="4" w:space="0"/>
            </w:tcBorders>
            <w:vAlign w:val="center"/>
          </w:tcPr>
          <w:p w14:paraId="09EEFF0E">
            <w:pPr>
              <w:adjustRightInd w:val="0"/>
              <w:snapToGrid w:val="0"/>
              <w:spacing w:line="320" w:lineRule="exact"/>
              <w:jc w:val="center"/>
              <w:rPr>
                <w:rFonts w:ascii="宋体" w:hAnsi="宋体" w:cs="宋体"/>
                <w:b/>
                <w:szCs w:val="21"/>
                <w:lang w:val="zh-CN"/>
              </w:rPr>
            </w:pPr>
            <w:r>
              <w:rPr>
                <w:rFonts w:hint="eastAsia" w:ascii="宋体" w:hAnsi="宋体" w:cs="宋体"/>
                <w:b/>
                <w:szCs w:val="21"/>
                <w:lang w:val="zh-CN"/>
              </w:rPr>
              <w:t>100</w:t>
            </w:r>
          </w:p>
        </w:tc>
        <w:tc>
          <w:tcPr>
            <w:tcW w:w="3271" w:type="pct"/>
            <w:tcBorders>
              <w:top w:val="single" w:color="auto" w:sz="4" w:space="0"/>
              <w:left w:val="single" w:color="auto" w:sz="4" w:space="0"/>
              <w:bottom w:val="single" w:color="auto" w:sz="4" w:space="0"/>
              <w:right w:val="single" w:color="auto" w:sz="4" w:space="0"/>
            </w:tcBorders>
            <w:vAlign w:val="center"/>
          </w:tcPr>
          <w:p w14:paraId="18BACE4B">
            <w:pPr>
              <w:adjustRightInd w:val="0"/>
              <w:snapToGrid w:val="0"/>
              <w:spacing w:line="320" w:lineRule="exact"/>
              <w:jc w:val="center"/>
              <w:rPr>
                <w:rFonts w:ascii="宋体" w:hAnsi="宋体" w:cs="宋体"/>
                <w:szCs w:val="21"/>
                <w:lang w:val="zh-CN"/>
              </w:rPr>
            </w:pPr>
            <w:r>
              <w:rPr>
                <w:rFonts w:ascii="宋体" w:hAnsi="宋体" w:cs="宋体"/>
                <w:b/>
                <w:szCs w:val="21"/>
                <w:lang w:val="zh-CN"/>
              </w:rPr>
              <w:t>评分总分</w:t>
            </w:r>
          </w:p>
        </w:tc>
        <w:tc>
          <w:tcPr>
            <w:tcW w:w="361" w:type="pct"/>
            <w:shd w:val="clear" w:color="auto" w:fill="auto"/>
            <w:vAlign w:val="center"/>
          </w:tcPr>
          <w:p w14:paraId="6C136DA6">
            <w:pPr>
              <w:widowControl/>
              <w:jc w:val="center"/>
              <w:rPr>
                <w:rFonts w:ascii="宋体" w:hAnsi="宋体"/>
                <w:szCs w:val="21"/>
              </w:rPr>
            </w:pPr>
          </w:p>
        </w:tc>
      </w:tr>
    </w:tbl>
    <w:p w14:paraId="5203F0FD">
      <w:pPr>
        <w:adjustRightInd w:val="0"/>
        <w:snapToGrid w:val="0"/>
        <w:spacing w:line="320" w:lineRule="exact"/>
        <w:jc w:val="left"/>
        <w:rPr>
          <w:rFonts w:ascii="宋体" w:hAnsi="宋体" w:cs="宋体"/>
          <w:b/>
          <w:sz w:val="24"/>
          <w:lang w:val="zh-CN"/>
        </w:rPr>
      </w:pPr>
      <w:r>
        <w:rPr>
          <w:rFonts w:ascii="宋体" w:hAnsi="宋体" w:cs="宋体"/>
          <w:b/>
          <w:sz w:val="24"/>
          <w:lang w:val="zh-CN"/>
        </w:rPr>
        <w:t>评分人签字：</w:t>
      </w:r>
      <w:r>
        <w:rPr>
          <w:rFonts w:hint="eastAsia" w:ascii="宋体" w:hAnsi="宋体" w:cs="宋体"/>
          <w:b/>
          <w:sz w:val="24"/>
          <w:lang w:val="zh-CN"/>
        </w:rPr>
        <w:t xml:space="preserve">                                        日期：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lotter">
    <w:altName w:val="Segoe Print"/>
    <w:panose1 w:val="00000000000000000000"/>
    <w:charset w:val="00"/>
    <w:family w:val="moder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6A452">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75EE30">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D75EE30">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xZDA1NDgwNDAzZDg2NzYxOWI3Y2Q5ZjdkMzM2YTYifQ=="/>
  </w:docVars>
  <w:rsids>
    <w:rsidRoot w:val="004C00F3"/>
    <w:rsid w:val="00001E81"/>
    <w:rsid w:val="00005C18"/>
    <w:rsid w:val="00012014"/>
    <w:rsid w:val="00051CE8"/>
    <w:rsid w:val="00062A9A"/>
    <w:rsid w:val="000840A5"/>
    <w:rsid w:val="000B3A12"/>
    <w:rsid w:val="00130B42"/>
    <w:rsid w:val="002C4C28"/>
    <w:rsid w:val="00357601"/>
    <w:rsid w:val="0044115E"/>
    <w:rsid w:val="00466825"/>
    <w:rsid w:val="00467463"/>
    <w:rsid w:val="004C00F3"/>
    <w:rsid w:val="004C4FCD"/>
    <w:rsid w:val="004E6D06"/>
    <w:rsid w:val="00554836"/>
    <w:rsid w:val="00571215"/>
    <w:rsid w:val="005741E6"/>
    <w:rsid w:val="005A108E"/>
    <w:rsid w:val="005C36E1"/>
    <w:rsid w:val="00644467"/>
    <w:rsid w:val="00734617"/>
    <w:rsid w:val="007A0BF7"/>
    <w:rsid w:val="007E6528"/>
    <w:rsid w:val="008C7224"/>
    <w:rsid w:val="00924B60"/>
    <w:rsid w:val="00930BFA"/>
    <w:rsid w:val="00937E8D"/>
    <w:rsid w:val="009428C8"/>
    <w:rsid w:val="00A46A8E"/>
    <w:rsid w:val="00B00485"/>
    <w:rsid w:val="00B36DD3"/>
    <w:rsid w:val="00B6523F"/>
    <w:rsid w:val="00B66B0F"/>
    <w:rsid w:val="00C142A4"/>
    <w:rsid w:val="00C16625"/>
    <w:rsid w:val="00C341B7"/>
    <w:rsid w:val="00C816A0"/>
    <w:rsid w:val="00D734BE"/>
    <w:rsid w:val="00EC39D6"/>
    <w:rsid w:val="00F027E6"/>
    <w:rsid w:val="00F47AEC"/>
    <w:rsid w:val="00F9000D"/>
    <w:rsid w:val="15DB28AD"/>
    <w:rsid w:val="1D9C6F52"/>
    <w:rsid w:val="2399557F"/>
    <w:rsid w:val="2B1842DD"/>
    <w:rsid w:val="31E623A8"/>
    <w:rsid w:val="3FFFAAD3"/>
    <w:rsid w:val="46137671"/>
    <w:rsid w:val="4C750C5A"/>
    <w:rsid w:val="529637BA"/>
    <w:rsid w:val="53DF6B3B"/>
    <w:rsid w:val="550E05F9"/>
    <w:rsid w:val="5FEF8789"/>
    <w:rsid w:val="67FC406B"/>
    <w:rsid w:val="6FF55F1D"/>
    <w:rsid w:val="71931651"/>
    <w:rsid w:val="75BDF55B"/>
    <w:rsid w:val="76BD00E7"/>
    <w:rsid w:val="7977649B"/>
    <w:rsid w:val="7BD15445"/>
    <w:rsid w:val="8FB6ED6D"/>
    <w:rsid w:val="97FCF32F"/>
    <w:rsid w:val="BB678A16"/>
    <w:rsid w:val="BF7BBA8D"/>
    <w:rsid w:val="D3FDDADF"/>
    <w:rsid w:val="EFF7851F"/>
    <w:rsid w:val="EFFE4300"/>
    <w:rsid w:val="FDEE8373"/>
    <w:rsid w:val="FEE952EB"/>
    <w:rsid w:val="FFD54E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next w:val="1"/>
    <w:qFormat/>
    <w:uiPriority w:val="0"/>
    <w:pPr>
      <w:keepNext/>
      <w:keepLines/>
      <w:widowControl w:val="0"/>
      <w:spacing w:before="260" w:after="260" w:line="415" w:lineRule="auto"/>
      <w:jc w:val="both"/>
      <w:outlineLvl w:val="1"/>
    </w:pPr>
    <w:rPr>
      <w:rFonts w:ascii="Arial" w:hAnsi="Arial" w:eastAsia="黑体" w:cs="Times New Roman"/>
      <w:b/>
      <w:kern w:val="2"/>
      <w:sz w:val="32"/>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Plotter" w:hAnsi="Plotter" w:eastAsia="仿宋_GB2312"/>
      <w:sz w:val="18"/>
      <w:szCs w:val="20"/>
    </w:rPr>
  </w:style>
  <w:style w:type="paragraph" w:styleId="4">
    <w:name w:val="Body Text Indent"/>
    <w:basedOn w:val="1"/>
    <w:next w:val="5"/>
    <w:qFormat/>
    <w:uiPriority w:val="0"/>
    <w:pPr>
      <w:spacing w:line="360" w:lineRule="auto"/>
      <w:ind w:firstLine="600" w:firstLineChars="200"/>
    </w:pPr>
    <w:rPr>
      <w:rFonts w:ascii="仿宋_GB2312" w:hAnsi="宋体" w:eastAsia="仿宋_GB2312"/>
      <w:sz w:val="30"/>
    </w:rPr>
  </w:style>
  <w:style w:type="paragraph" w:styleId="5">
    <w:name w:val="Body Text First Indent 2"/>
    <w:basedOn w:val="4"/>
    <w:qFormat/>
    <w:uiPriority w:val="0"/>
    <w:pPr>
      <w:widowControl/>
      <w:spacing w:after="120" w:line="276" w:lineRule="auto"/>
      <w:ind w:left="420" w:leftChars="200" w:firstLine="420"/>
      <w:jc w:val="left"/>
    </w:pPr>
    <w:rPr>
      <w:rFonts w:ascii="Calibri" w:hAnsi="Calibri"/>
      <w:sz w:val="21"/>
    </w:rPr>
  </w:style>
  <w:style w:type="paragraph" w:styleId="6">
    <w:name w:val="footer"/>
    <w:basedOn w:val="1"/>
    <w:link w:val="13"/>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8">
    <w:name w:val="Normal (Web)"/>
    <w:basedOn w:val="1"/>
    <w:semiHidden/>
    <w:unhideWhenUsed/>
    <w:qFormat/>
    <w:uiPriority w:val="99"/>
    <w:pPr>
      <w:spacing w:beforeAutospacing="1" w:afterAutospacing="1"/>
      <w:jc w:val="left"/>
    </w:pPr>
    <w:rPr>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页眉 Char"/>
    <w:basedOn w:val="11"/>
    <w:link w:val="7"/>
    <w:qFormat/>
    <w:uiPriority w:val="99"/>
    <w:rPr>
      <w:sz w:val="18"/>
      <w:szCs w:val="18"/>
    </w:rPr>
  </w:style>
  <w:style w:type="character" w:customStyle="1" w:styleId="13">
    <w:name w:val="页脚 Char"/>
    <w:basedOn w:val="11"/>
    <w:link w:val="6"/>
    <w:qFormat/>
    <w:uiPriority w:val="99"/>
    <w:rPr>
      <w:sz w:val="18"/>
      <w:szCs w:val="18"/>
    </w:rPr>
  </w:style>
  <w:style w:type="character" w:customStyle="1" w:styleId="14">
    <w:name w:val="font11"/>
    <w:basedOn w:val="11"/>
    <w:qFormat/>
    <w:uiPriority w:val="0"/>
    <w:rPr>
      <w:rFonts w:hint="eastAsia" w:ascii="宋体" w:hAnsi="宋体" w:eastAsia="宋体" w:cs="宋体"/>
      <w:b/>
      <w:bCs/>
      <w:color w:val="000000"/>
      <w:sz w:val="28"/>
      <w:szCs w:val="28"/>
      <w:u w:val="none"/>
    </w:rPr>
  </w:style>
  <w:style w:type="character" w:customStyle="1" w:styleId="15">
    <w:name w:val="font01"/>
    <w:basedOn w:val="11"/>
    <w:qFormat/>
    <w:uiPriority w:val="0"/>
    <w:rPr>
      <w:rFonts w:hint="eastAsia" w:ascii="宋体" w:hAnsi="宋体" w:eastAsia="宋体" w:cs="宋体"/>
      <w:color w:val="000000"/>
      <w:sz w:val="22"/>
      <w:szCs w:val="22"/>
      <w:u w:val="none"/>
    </w:rPr>
  </w:style>
  <w:style w:type="character" w:customStyle="1" w:styleId="16">
    <w:name w:val="font31"/>
    <w:basedOn w:val="11"/>
    <w:qFormat/>
    <w:uiPriority w:val="0"/>
    <w:rPr>
      <w:rFonts w:ascii="Calibri" w:hAnsi="Calibri" w:cs="Calibri"/>
      <w:color w:val="000000"/>
      <w:sz w:val="22"/>
      <w:szCs w:val="22"/>
      <w:u w:val="none"/>
    </w:rPr>
  </w:style>
  <w:style w:type="paragraph" w:customStyle="1" w:styleId="17">
    <w:name w:val="列出段落1"/>
    <w:qFormat/>
    <w:uiPriority w:val="34"/>
    <w:pPr>
      <w:widowControl w:val="0"/>
      <w:ind w:firstLine="420"/>
      <w:jc w:val="both"/>
    </w:pPr>
    <w:rPr>
      <w:rFonts w:ascii="Calibri" w:hAnsi="Calibri" w:eastAsia="Calibri" w:cs="Calibri"/>
      <w:color w:val="000000"/>
      <w:kern w:val="2"/>
      <w:sz w:val="21"/>
      <w:szCs w:val="21"/>
      <w:u w:color="000000"/>
      <w:lang w:val="en-US" w:eastAsia="zh-CN" w:bidi="ar-SA"/>
    </w:rPr>
  </w:style>
  <w:style w:type="table" w:customStyle="1" w:styleId="18">
    <w:name w:val="Table Normal"/>
    <w:qFormat/>
    <w:uiPriority w:val="0"/>
    <w:tblPr>
      <w:tblCellMar>
        <w:top w:w="0" w:type="dxa"/>
        <w:left w:w="0" w:type="dxa"/>
        <w:bottom w:w="0" w:type="dxa"/>
        <w:right w:w="0" w:type="dxa"/>
      </w:tblCellMar>
    </w:tblPr>
  </w:style>
  <w:style w:type="paragraph" w:styleId="19">
    <w:name w:val="List Paragraph"/>
    <w:basedOn w:val="1"/>
    <w:qFormat/>
    <w:uiPriority w:val="34"/>
    <w:pPr>
      <w:ind w:firstLine="420" w:firstLineChars="200"/>
    </w:pPr>
  </w:style>
  <w:style w:type="paragraph" w:customStyle="1" w:styleId="20">
    <w:name w:val="无间距"/>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段"/>
    <w:next w:val="1"/>
    <w:qFormat/>
    <w:uiPriority w:val="0"/>
    <w:pPr>
      <w:autoSpaceDE w:val="0"/>
      <w:autoSpaceDN w:val="0"/>
      <w:adjustRightInd w:val="0"/>
      <w:snapToGrid w:val="0"/>
      <w:spacing w:line="360" w:lineRule="auto"/>
      <w:ind w:firstLine="200" w:firstLineChars="200"/>
      <w:jc w:val="both"/>
    </w:pPr>
    <w:rPr>
      <w:rFonts w:ascii="宋体"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1086</Words>
  <Characters>1119</Characters>
  <Lines>8</Lines>
  <Paragraphs>2</Paragraphs>
  <TotalTime>246</TotalTime>
  <ScaleCrop>false</ScaleCrop>
  <LinksUpToDate>false</LinksUpToDate>
  <CharactersWithSpaces>1196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2023-11-29T03:10:00Z</dcterms:created>
  <dc:creator>ChenXuan</dc:creator>
  <cp:lastModifiedBy>刘勇</cp:lastModifiedBy>
  <dcterms:modified xsi:type="dcterms:W3CDTF">2025-06-18T06:14:40Z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0DCE4AE3873447509EF84B6CC2C3A146_13</vt:lpwstr>
  </property>
  <property fmtid="{D5CDD505-2E9C-101B-9397-08002B2CF9AE}" pid="4" name="KSOTemplateDocerSaveRecord">
    <vt:lpwstr>eyJoZGlkIjoiMjU3M2VmY2MyZTlhZmVjYzAyYTMwZDhlODU2Nzc3NGEiLCJ1c2VySWQiOiIyMzcwMDc5NjQifQ==</vt:lpwstr>
  </property>
</Properties>
</file>