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A4F47"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附件一</w:t>
      </w:r>
      <w:r>
        <w:rPr>
          <w:rFonts w:hint="eastAsia" w:asci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评分标准</w:t>
      </w:r>
    </w:p>
    <w:tbl>
      <w:tblPr>
        <w:tblStyle w:val="3"/>
        <w:tblW w:w="10558" w:type="dxa"/>
        <w:jc w:val="center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98"/>
        <w:gridCol w:w="2379"/>
        <w:gridCol w:w="5111"/>
        <w:gridCol w:w="654"/>
      </w:tblGrid>
      <w:tr w14:paraId="5D2E9F9E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tblHeader/>
          <w:jc w:val="center"/>
        </w:trPr>
        <w:tc>
          <w:tcPr>
            <w:tcW w:w="816" w:type="dxa"/>
            <w:vAlign w:val="center"/>
          </w:tcPr>
          <w:p w14:paraId="7AAB4AA6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项目</w:t>
            </w:r>
          </w:p>
        </w:tc>
        <w:tc>
          <w:tcPr>
            <w:tcW w:w="1598" w:type="dxa"/>
            <w:vAlign w:val="center"/>
          </w:tcPr>
          <w:p w14:paraId="185BAEBB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评分项</w:t>
            </w:r>
          </w:p>
        </w:tc>
        <w:tc>
          <w:tcPr>
            <w:tcW w:w="2379" w:type="dxa"/>
            <w:vAlign w:val="center"/>
          </w:tcPr>
          <w:p w14:paraId="104AE91E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评审要素</w:t>
            </w:r>
          </w:p>
        </w:tc>
        <w:tc>
          <w:tcPr>
            <w:tcW w:w="5111" w:type="dxa"/>
            <w:vAlign w:val="center"/>
          </w:tcPr>
          <w:p w14:paraId="24DDEBAF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主要评审内容</w:t>
            </w:r>
          </w:p>
        </w:tc>
        <w:tc>
          <w:tcPr>
            <w:tcW w:w="654" w:type="dxa"/>
            <w:vAlign w:val="center"/>
          </w:tcPr>
          <w:p w14:paraId="70A74C7F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满分</w:t>
            </w:r>
          </w:p>
        </w:tc>
      </w:tr>
      <w:tr w14:paraId="1B5CC11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0558" w:type="dxa"/>
            <w:gridSpan w:val="5"/>
            <w:vAlign w:val="center"/>
          </w:tcPr>
          <w:p w14:paraId="60AE576C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一、商务报价（40分）</w:t>
            </w:r>
          </w:p>
        </w:tc>
      </w:tr>
      <w:tr w14:paraId="3C5DE935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816" w:type="dxa"/>
            <w:vAlign w:val="center"/>
          </w:tcPr>
          <w:p w14:paraId="5067AC86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</w:t>
            </w:r>
          </w:p>
        </w:tc>
        <w:tc>
          <w:tcPr>
            <w:tcW w:w="1598" w:type="dxa"/>
            <w:vAlign w:val="center"/>
          </w:tcPr>
          <w:p w14:paraId="34527A7B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商务报价得分（40分）</w:t>
            </w:r>
          </w:p>
        </w:tc>
        <w:tc>
          <w:tcPr>
            <w:tcW w:w="7490" w:type="dxa"/>
            <w:gridSpan w:val="2"/>
          </w:tcPr>
          <w:p w14:paraId="0BF83248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有效的投标报价中的最低价为评标基准价，按照下列公式计算每个投标人的投标价格得分。</w:t>
            </w:r>
          </w:p>
          <w:p w14:paraId="051EF364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投标报价得分=（评标基准价/投标报价）*价格权重*100%</w:t>
            </w:r>
          </w:p>
        </w:tc>
        <w:tc>
          <w:tcPr>
            <w:tcW w:w="654" w:type="dxa"/>
            <w:vAlign w:val="center"/>
          </w:tcPr>
          <w:p w14:paraId="0F6BF9E1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40</w:t>
            </w:r>
          </w:p>
        </w:tc>
      </w:tr>
      <w:tr w14:paraId="171CD5F1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0558" w:type="dxa"/>
            <w:gridSpan w:val="5"/>
            <w:vAlign w:val="center"/>
          </w:tcPr>
          <w:p w14:paraId="79C86021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二、技术方案（30分）</w:t>
            </w:r>
          </w:p>
        </w:tc>
      </w:tr>
      <w:tr w14:paraId="165BE485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816" w:type="dxa"/>
            <w:vMerge w:val="restart"/>
            <w:vAlign w:val="center"/>
          </w:tcPr>
          <w:p w14:paraId="48482D15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</w:t>
            </w:r>
          </w:p>
        </w:tc>
        <w:tc>
          <w:tcPr>
            <w:tcW w:w="1598" w:type="dxa"/>
            <w:vMerge w:val="restart"/>
            <w:vAlign w:val="center"/>
          </w:tcPr>
          <w:p w14:paraId="13F650C1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方案符合性（30分）</w:t>
            </w:r>
          </w:p>
        </w:tc>
        <w:tc>
          <w:tcPr>
            <w:tcW w:w="7490" w:type="dxa"/>
            <w:gridSpan w:val="2"/>
          </w:tcPr>
          <w:p w14:paraId="6B84B295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技术方案，项目实施、质量保证与验收方案是否符合本次项目建设要求。是否对项目实施管理具有系统的质量保证、项目进度控制、项目风险管理、项目范围管理、配置与变更管理、项目沟通管理、成果交付等内容，并提供可行性方案计划。</w:t>
            </w:r>
          </w:p>
          <w:p w14:paraId="664E7135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综合评价：很好：16-20分   好：11-15分   一般：0-10分</w:t>
            </w:r>
          </w:p>
        </w:tc>
        <w:tc>
          <w:tcPr>
            <w:tcW w:w="654" w:type="dxa"/>
            <w:vAlign w:val="center"/>
          </w:tcPr>
          <w:p w14:paraId="6A59E966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20</w:t>
            </w:r>
          </w:p>
        </w:tc>
      </w:tr>
      <w:tr w14:paraId="230B46D2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816" w:type="dxa"/>
            <w:vMerge w:val="continue"/>
            <w:vAlign w:val="center"/>
          </w:tcPr>
          <w:p w14:paraId="5E5A7C76">
            <w:pPr>
              <w:rPr>
                <w:rFonts w:ascii="宋体" w:hAnsi="宋体"/>
                <w:sz w:val="20"/>
              </w:rPr>
            </w:pPr>
          </w:p>
        </w:tc>
        <w:tc>
          <w:tcPr>
            <w:tcW w:w="1598" w:type="dxa"/>
            <w:vMerge w:val="continue"/>
            <w:vAlign w:val="center"/>
          </w:tcPr>
          <w:p w14:paraId="506592E8">
            <w:pPr>
              <w:rPr>
                <w:rFonts w:ascii="宋体" w:hAnsi="宋体"/>
                <w:sz w:val="20"/>
              </w:rPr>
            </w:pPr>
          </w:p>
        </w:tc>
        <w:tc>
          <w:tcPr>
            <w:tcW w:w="7490" w:type="dxa"/>
            <w:gridSpan w:val="2"/>
          </w:tcPr>
          <w:p w14:paraId="63C1B887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要求投标方案建设目标清晰、方案设计合理，需满足本次招标的原则，根据方案的优劣性酌情评分，</w:t>
            </w:r>
          </w:p>
          <w:p w14:paraId="025E0646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综合评价：很好：9-10分   好：5-8分   一般：0-4分</w:t>
            </w:r>
          </w:p>
        </w:tc>
        <w:tc>
          <w:tcPr>
            <w:tcW w:w="654" w:type="dxa"/>
            <w:vAlign w:val="center"/>
          </w:tcPr>
          <w:p w14:paraId="6C23589C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10</w:t>
            </w:r>
          </w:p>
        </w:tc>
      </w:tr>
      <w:tr w14:paraId="1CA65D45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0558" w:type="dxa"/>
            <w:gridSpan w:val="5"/>
            <w:vAlign w:val="center"/>
          </w:tcPr>
          <w:p w14:paraId="02A8B14C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三、人员能力（10分）</w:t>
            </w:r>
          </w:p>
        </w:tc>
      </w:tr>
      <w:tr w14:paraId="6354A6C5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" w:hRule="atLeast"/>
          <w:jc w:val="center"/>
        </w:trPr>
        <w:tc>
          <w:tcPr>
            <w:tcW w:w="816" w:type="dxa"/>
            <w:vAlign w:val="center"/>
          </w:tcPr>
          <w:p w14:paraId="3554DD70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</w:t>
            </w:r>
          </w:p>
        </w:tc>
        <w:tc>
          <w:tcPr>
            <w:tcW w:w="1598" w:type="dxa"/>
            <w:vAlign w:val="center"/>
          </w:tcPr>
          <w:p w14:paraId="13BFD31A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项目人员配备（10分）</w:t>
            </w:r>
          </w:p>
        </w:tc>
        <w:tc>
          <w:tcPr>
            <w:tcW w:w="7490" w:type="dxa"/>
            <w:gridSpan w:val="2"/>
          </w:tcPr>
          <w:p w14:paraId="4FF2C432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投标人需提供合理的技术人员安排，技术人员需具备等保评估能力相关证书，每提供一个种类的有效证书（且提供在职证明材料）的得2分，最多得10分，证书和在职证明提供不全不得分。</w:t>
            </w:r>
          </w:p>
          <w:p w14:paraId="121F70BF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（1）PMP项目管理专业人士认证；</w:t>
            </w:r>
          </w:p>
          <w:p w14:paraId="41A1D02F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（2）ITSS IT服务项目经理认证；</w:t>
            </w:r>
          </w:p>
          <w:p w14:paraId="77BC7CED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（3）CISSP注册信息系统安全专家；</w:t>
            </w:r>
          </w:p>
          <w:p w14:paraId="151198D8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（4）CISP-CISE注册信息安全工程师；</w:t>
            </w:r>
          </w:p>
          <w:p w14:paraId="77754C83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（5）CCRC-DSO数据安全官。</w:t>
            </w:r>
          </w:p>
        </w:tc>
        <w:tc>
          <w:tcPr>
            <w:tcW w:w="654" w:type="dxa"/>
            <w:vAlign w:val="center"/>
          </w:tcPr>
          <w:p w14:paraId="6A052B22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10</w:t>
            </w:r>
          </w:p>
        </w:tc>
      </w:tr>
      <w:tr w14:paraId="1A31D9D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0558" w:type="dxa"/>
            <w:gridSpan w:val="5"/>
            <w:vAlign w:val="center"/>
          </w:tcPr>
          <w:p w14:paraId="418EB13A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四、综合能力（20分）</w:t>
            </w:r>
          </w:p>
        </w:tc>
      </w:tr>
      <w:tr w14:paraId="2B6893C5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816" w:type="dxa"/>
            <w:vAlign w:val="center"/>
          </w:tcPr>
          <w:p w14:paraId="057F93F5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</w:t>
            </w:r>
          </w:p>
        </w:tc>
        <w:tc>
          <w:tcPr>
            <w:tcW w:w="1598" w:type="dxa"/>
            <w:vAlign w:val="center"/>
          </w:tcPr>
          <w:p w14:paraId="0A5BD8FA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企业资质（10分）</w:t>
            </w:r>
          </w:p>
        </w:tc>
        <w:tc>
          <w:tcPr>
            <w:tcW w:w="7490" w:type="dxa"/>
            <w:gridSpan w:val="2"/>
          </w:tcPr>
          <w:p w14:paraId="206A6790">
            <w:pPr>
              <w:adjustRightInd w:val="0"/>
              <w:spacing w:line="360" w:lineRule="atLeast"/>
              <w:rPr>
                <w:rFonts w:ascii="宋体" w:hAnsi="宋体" w:cs="仿宋"/>
                <w:szCs w:val="21"/>
                <w:lang w:bidi="ar"/>
              </w:rPr>
            </w:pPr>
            <w:bookmarkStart w:id="0" w:name="_Hlk112916858"/>
            <w:r>
              <w:rPr>
                <w:rFonts w:hint="eastAsia" w:ascii="宋体" w:hAnsi="宋体" w:cs="仿宋"/>
                <w:szCs w:val="21"/>
                <w:lang w:bidi="ar"/>
              </w:rPr>
              <w:t>每提供一个种类的有效证书的得2分，最多得10分。</w:t>
            </w:r>
          </w:p>
          <w:p w14:paraId="69D848DE">
            <w:pPr>
              <w:adjustRightInd w:val="0"/>
              <w:spacing w:line="360" w:lineRule="atLeast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 xml:space="preserve">（1）ISO </w:t>
            </w:r>
            <w:r>
              <w:rPr>
                <w:rFonts w:ascii="宋体" w:hAnsi="宋体" w:cs="仿宋"/>
                <w:szCs w:val="21"/>
                <w:lang w:bidi="ar"/>
              </w:rPr>
              <w:t>27001</w:t>
            </w:r>
            <w:r>
              <w:rPr>
                <w:rFonts w:hint="eastAsia" w:ascii="宋体" w:hAnsi="宋体" w:cs="仿宋"/>
                <w:szCs w:val="21"/>
                <w:lang w:bidi="ar"/>
              </w:rPr>
              <w:t>信息安全管理体系认证证书；</w:t>
            </w:r>
          </w:p>
          <w:p w14:paraId="29706908">
            <w:pPr>
              <w:adjustRightInd w:val="0"/>
              <w:spacing w:line="360" w:lineRule="atLeast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 xml:space="preserve">（2）ISO </w:t>
            </w:r>
            <w:r>
              <w:rPr>
                <w:rFonts w:ascii="宋体" w:hAnsi="宋体" w:cs="仿宋"/>
                <w:szCs w:val="21"/>
                <w:lang w:bidi="ar"/>
              </w:rPr>
              <w:t>20000</w:t>
            </w:r>
            <w:r>
              <w:rPr>
                <w:rFonts w:hint="eastAsia" w:ascii="宋体" w:hAnsi="宋体" w:cs="仿宋"/>
                <w:szCs w:val="21"/>
                <w:lang w:bidi="ar"/>
              </w:rPr>
              <w:t>技术服务体系认证证书；</w:t>
            </w:r>
          </w:p>
          <w:p w14:paraId="3995FFA2">
            <w:pPr>
              <w:adjustRightInd w:val="0"/>
              <w:spacing w:line="360" w:lineRule="atLeast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（3）ISO 9001质量管理体系认证</w:t>
            </w:r>
          </w:p>
          <w:p w14:paraId="587A1F76">
            <w:pPr>
              <w:adjustRightInd w:val="0"/>
              <w:spacing w:line="360" w:lineRule="atLeast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（4）CCRC信息安全风险评估服务资质认证；</w:t>
            </w:r>
          </w:p>
          <w:p w14:paraId="6015DD9D">
            <w:pPr>
              <w:adjustRightInd w:val="0"/>
              <w:spacing w:line="360" w:lineRule="atLeast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（5）CCRC信息安全应急处理服务资质认证；</w:t>
            </w:r>
          </w:p>
          <w:p w14:paraId="487896C8">
            <w:pPr>
              <w:adjustRightInd w:val="0"/>
              <w:spacing w:line="360" w:lineRule="atLeast"/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（6）CCRC信息系统安全集成服务资质</w:t>
            </w:r>
            <w:bookmarkEnd w:id="0"/>
            <w:r>
              <w:rPr>
                <w:rFonts w:hint="eastAsia" w:ascii="宋体" w:hAnsi="宋体" w:cs="仿宋"/>
                <w:szCs w:val="21"/>
                <w:lang w:bidi="ar"/>
              </w:rPr>
              <w:t>认证。</w:t>
            </w:r>
          </w:p>
        </w:tc>
        <w:tc>
          <w:tcPr>
            <w:tcW w:w="654" w:type="dxa"/>
            <w:vAlign w:val="center"/>
          </w:tcPr>
          <w:p w14:paraId="553D4ABA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10</w:t>
            </w:r>
          </w:p>
        </w:tc>
      </w:tr>
      <w:tr w14:paraId="50F448C1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816" w:type="dxa"/>
            <w:vAlign w:val="center"/>
          </w:tcPr>
          <w:p w14:paraId="65F9AA01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2</w:t>
            </w:r>
          </w:p>
        </w:tc>
        <w:tc>
          <w:tcPr>
            <w:tcW w:w="1598" w:type="dxa"/>
            <w:vAlign w:val="center"/>
          </w:tcPr>
          <w:p w14:paraId="35FBE678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经营业绩及类似成功案例（10分）</w:t>
            </w:r>
          </w:p>
        </w:tc>
        <w:tc>
          <w:tcPr>
            <w:tcW w:w="7490" w:type="dxa"/>
            <w:gridSpan w:val="2"/>
          </w:tcPr>
          <w:p w14:paraId="7B50A399">
            <w:pPr>
              <w:rPr>
                <w:rFonts w:ascii="宋体" w:hAnsi="宋体" w:cs="仿宋"/>
                <w:szCs w:val="21"/>
                <w:lang w:bidi="ar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投标人提供20</w:t>
            </w:r>
            <w:r>
              <w:rPr>
                <w:rFonts w:ascii="宋体" w:hAnsi="宋体" w:cs="仿宋"/>
                <w:szCs w:val="21"/>
                <w:lang w:bidi="ar"/>
              </w:rPr>
              <w:t>2</w:t>
            </w:r>
            <w:r>
              <w:rPr>
                <w:rFonts w:hint="eastAsia" w:ascii="宋体" w:hAnsi="宋体" w:cs="仿宋"/>
                <w:szCs w:val="21"/>
                <w:lang w:bidi="ar"/>
              </w:rPr>
              <w:t>2年以来等保项目案例（非高职院校的等保案例），每提供一个得2分，以合同复印件为准，必须至少包含清晰的双方印章、服务内容、签订时间等信息。最高6分，最低0分；</w:t>
            </w:r>
          </w:p>
          <w:p w14:paraId="1BC557F9"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投标人提供20</w:t>
            </w:r>
            <w:r>
              <w:rPr>
                <w:rFonts w:ascii="宋体" w:hAnsi="宋体" w:cs="仿宋"/>
                <w:szCs w:val="21"/>
                <w:lang w:bidi="ar"/>
              </w:rPr>
              <w:t>2</w:t>
            </w:r>
            <w:r>
              <w:rPr>
                <w:rFonts w:hint="eastAsia" w:ascii="宋体" w:hAnsi="宋体" w:cs="仿宋"/>
                <w:szCs w:val="21"/>
                <w:lang w:bidi="ar"/>
              </w:rPr>
              <w:t>2年以来等保项目案例（高职院校的等保案例），每提供一个得2分，以合同复印件为准，必须至少包含清晰的双方印章、服务内容、签订时间等信息。最高4分，最低0分。</w:t>
            </w:r>
          </w:p>
        </w:tc>
        <w:tc>
          <w:tcPr>
            <w:tcW w:w="654" w:type="dxa"/>
            <w:vAlign w:val="center"/>
          </w:tcPr>
          <w:p w14:paraId="7CCC9EC8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10</w:t>
            </w:r>
          </w:p>
        </w:tc>
      </w:tr>
      <w:tr w14:paraId="07728A1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" w:hRule="atLeast"/>
          <w:jc w:val="center"/>
        </w:trPr>
        <w:tc>
          <w:tcPr>
            <w:tcW w:w="9904" w:type="dxa"/>
            <w:gridSpan w:val="4"/>
            <w:vAlign w:val="center"/>
          </w:tcPr>
          <w:p w14:paraId="4697F5BF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总 分</w:t>
            </w:r>
          </w:p>
        </w:tc>
        <w:tc>
          <w:tcPr>
            <w:tcW w:w="654" w:type="dxa"/>
            <w:vAlign w:val="center"/>
          </w:tcPr>
          <w:p w14:paraId="4EBB6DDD"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  <w:lang w:bidi="ar"/>
              </w:rPr>
              <w:t>100</w:t>
            </w:r>
          </w:p>
        </w:tc>
      </w:tr>
    </w:tbl>
    <w:p w14:paraId="7346B56F">
      <w:pPr>
        <w:spacing w:line="560" w:lineRule="exact"/>
        <w:rPr>
          <w:szCs w:val="21"/>
        </w:rPr>
      </w:pPr>
    </w:p>
    <w:p w14:paraId="13E551D4">
      <w:bookmarkStart w:id="1" w:name="_GoBack"/>
      <w:bookmarkEnd w:id="1"/>
    </w:p>
    <w:sectPr>
      <w:footerReference r:id="rId3" w:type="default"/>
      <w:pgSz w:w="11906" w:h="16838"/>
      <w:pgMar w:top="1497" w:right="1080" w:bottom="873" w:left="108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77920442"/>
    </w:sdtPr>
    <w:sdtContent>
      <w:sdt>
        <w:sdtPr>
          <w:id w:val="1728636285"/>
        </w:sdtPr>
        <w:sdtContent>
          <w:p w14:paraId="726AA659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D19F0"/>
    <w:rsid w:val="41AD1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2025-07-03T03:13:00Z</dcterms:created>
  <dc:creator>ZLH</dc:creator>
  <cp:lastModifiedBy>ZLH</cp:lastModifiedBy>
  <dcterms:modified xsi:type="dcterms:W3CDTF">2025-07-03T03:13:55Z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D29B32151CC64B469828F882923D1C8F_11</vt:lpwstr>
  </property>
  <property fmtid="{D5CDD505-2E9C-101B-9397-08002B2CF9AE}" pid="4" name="KSOTemplateDocerSaveRecord">
    <vt:lpwstr>eyJoZGlkIjoiN2VhNjk1NDU4YmM1NjY4ZjI0ZDc3OGVmOWJhMjg1MzAiLCJ1c2VySWQiOiI0MzgxNDUwNDAifQ==</vt:lpwstr>
  </property>
</Properties>
</file>