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2"/>
        </w:rPr>
        <w:t>202</w:t>
      </w:r>
      <w:r>
        <w:rPr>
          <w:rFonts w:hint="eastAsia" w:ascii="华文中宋" w:hAnsi="华文中宋" w:eastAsia="华文中宋" w:cs="华文中宋"/>
          <w:b/>
          <w:bCs/>
          <w:sz w:val="36"/>
          <w:szCs w:val="32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sz w:val="36"/>
          <w:szCs w:val="32"/>
        </w:rPr>
        <w:t>年</w:t>
      </w:r>
      <w:r>
        <w:rPr>
          <w:rFonts w:hint="eastAsia" w:ascii="华文中宋" w:hAnsi="华文中宋" w:eastAsia="华文中宋" w:cs="华文中宋"/>
          <w:b/>
          <w:bCs/>
          <w:sz w:val="36"/>
          <w:szCs w:val="32"/>
          <w:lang w:val="en-US" w:eastAsia="zh-CN"/>
        </w:rPr>
        <w:t>教职工健康</w:t>
      </w:r>
      <w:r>
        <w:rPr>
          <w:rFonts w:hint="eastAsia" w:ascii="华文中宋" w:hAnsi="华文中宋" w:eastAsia="华文中宋" w:cs="华文中宋"/>
          <w:b/>
          <w:bCs/>
          <w:sz w:val="36"/>
          <w:szCs w:val="32"/>
        </w:rPr>
        <w:t>体检项目</w:t>
      </w:r>
    </w:p>
    <w:p>
      <w:pPr>
        <w:jc w:val="center"/>
        <w:rPr>
          <w:rFonts w:hint="eastAsia" w:ascii="华文中宋" w:hAnsi="华文中宋" w:eastAsia="华文中宋" w:cs="华文中宋"/>
          <w:b w:val="0"/>
          <w:bCs w:val="0"/>
          <w:sz w:val="30"/>
          <w:szCs w:val="30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2"/>
        </w:rPr>
        <w:t>评分细则</w:t>
      </w:r>
    </w:p>
    <w:tbl>
      <w:tblPr>
        <w:tblStyle w:val="9"/>
        <w:tblW w:w="11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560"/>
        <w:gridCol w:w="1696"/>
        <w:gridCol w:w="595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项目分值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评分项</w:t>
            </w:r>
          </w:p>
        </w:tc>
        <w:tc>
          <w:tcPr>
            <w:tcW w:w="595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评分标准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机构背景实力及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专业水平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（15分）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机构背景实力及资质情况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（5分）</w:t>
            </w:r>
          </w:p>
        </w:tc>
        <w:tc>
          <w:tcPr>
            <w:tcW w:w="5958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根据机构资质、经营规模、背景实力等综合打分，优秀得4-5分，良好得2-3分，一般得0-1分。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机构专业水平（10分）</w:t>
            </w:r>
          </w:p>
        </w:tc>
        <w:tc>
          <w:tcPr>
            <w:tcW w:w="5958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机构的整体医疗专业水平或科研成果，包括但不限于临床、基础研究、前沿研究等相关领域专业水平，优秀得7-10分，良好得3-6分，一般得0-2分。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相关案例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(5分)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相关案例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(5分)</w:t>
            </w:r>
          </w:p>
        </w:tc>
        <w:tc>
          <w:tcPr>
            <w:tcW w:w="5958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具有相关服务的相关案例（提供合同复印件），每提供1个得1分，最多5分，未提供则为0分。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体检项目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</w:tc>
        <w:tc>
          <w:tcPr>
            <w:tcW w:w="765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服务需满足我校方案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，方案较好得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10-20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分、一般得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分、匹配度较低得0-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服务方案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(20分)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团队配置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(3分)</w:t>
            </w:r>
          </w:p>
        </w:tc>
        <w:tc>
          <w:tcPr>
            <w:tcW w:w="5958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根据主检医生的资质或职称情况、各科室体检医生人员配置情况等酌情打分，资质好、自有人员为主得3分、一般得2分、匹配度较低得1分。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体检设备硬件设施配备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(2分)</w:t>
            </w:r>
          </w:p>
        </w:tc>
        <w:tc>
          <w:tcPr>
            <w:tcW w:w="595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根据提供的体检设备硬件设施配备等情况酌情打分，较好得2分、一般得1分、匹配度较低得0分。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7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体检环境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分)</w:t>
            </w:r>
          </w:p>
        </w:tc>
        <w:tc>
          <w:tcPr>
            <w:tcW w:w="5958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根据体检场所及科室布局等情况酌情打分，整体较好的得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分，一般的得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分、匹配度较低得1分。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基本相关服务(5分)</w:t>
            </w:r>
          </w:p>
        </w:tc>
        <w:tc>
          <w:tcPr>
            <w:tcW w:w="5958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根据服务方案的完整性、专业性进行酌情打分，包括但不限于检前准备、检中安排和现场组织、检后跟踪服务等，较好得4-5分、一般得2-3分、匹配度较低得0-1分。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增值服务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(5分)</w:t>
            </w:r>
          </w:p>
        </w:tc>
        <w:tc>
          <w:tcPr>
            <w:tcW w:w="5958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根据提供的各类增值服务酌情打分，较好得4-5分、一般得2-3分、匹配度较低得0-1分。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报价得分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分)</w:t>
            </w:r>
          </w:p>
        </w:tc>
        <w:tc>
          <w:tcPr>
            <w:tcW w:w="7654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价格评审仅对没有实质性偏离的有效投标报价进行。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确定基准价：基准价为所有有效报价（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男、女已婚、女未婚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）的平均价。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（2）价格分计算：投标报价等于基准价得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40分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，当投标报价高于评标基准价时，每上浮1％扣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分；每下浮1%扣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分，得分保留两位小数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扣至0分为止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06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JkNTA0ZjMzMjVjMjQ4N2RjM2NmOGJlMmEyNWVlODIifQ=="/>
  </w:docVars>
  <w:rsids>
    <w:rsidRoot w:val="009D258C"/>
    <w:rsid w:val="00073087"/>
    <w:rsid w:val="000C4A98"/>
    <w:rsid w:val="00177947"/>
    <w:rsid w:val="001C4627"/>
    <w:rsid w:val="003A6C5E"/>
    <w:rsid w:val="003B6C35"/>
    <w:rsid w:val="003F17CC"/>
    <w:rsid w:val="00422B99"/>
    <w:rsid w:val="004C05E5"/>
    <w:rsid w:val="004C7E16"/>
    <w:rsid w:val="004D5BDA"/>
    <w:rsid w:val="004E52E7"/>
    <w:rsid w:val="0050634A"/>
    <w:rsid w:val="00511F57"/>
    <w:rsid w:val="0058175C"/>
    <w:rsid w:val="005D3F50"/>
    <w:rsid w:val="00721B5F"/>
    <w:rsid w:val="007623AE"/>
    <w:rsid w:val="00827348"/>
    <w:rsid w:val="00864D45"/>
    <w:rsid w:val="008E1113"/>
    <w:rsid w:val="00911B9D"/>
    <w:rsid w:val="009D258C"/>
    <w:rsid w:val="00AB3446"/>
    <w:rsid w:val="00BC5B17"/>
    <w:rsid w:val="00C207F8"/>
    <w:rsid w:val="00C71FF5"/>
    <w:rsid w:val="00CF6C49"/>
    <w:rsid w:val="00D613F2"/>
    <w:rsid w:val="00D728AD"/>
    <w:rsid w:val="00D8662F"/>
    <w:rsid w:val="00DF0A79"/>
    <w:rsid w:val="00E07042"/>
    <w:rsid w:val="00E8303D"/>
    <w:rsid w:val="00E970E6"/>
    <w:rsid w:val="00EB40DA"/>
    <w:rsid w:val="00EB56E8"/>
    <w:rsid w:val="00ED4A33"/>
    <w:rsid w:val="00F27D2B"/>
    <w:rsid w:val="00F627FE"/>
    <w:rsid w:val="00F73D6F"/>
    <w:rsid w:val="017818BC"/>
    <w:rsid w:val="0D523741"/>
    <w:rsid w:val="118A245B"/>
    <w:rsid w:val="28060F58"/>
    <w:rsid w:val="28137B19"/>
    <w:rsid w:val="2B8A6344"/>
    <w:rsid w:val="2BBF5FEE"/>
    <w:rsid w:val="30B26121"/>
    <w:rsid w:val="3474193F"/>
    <w:rsid w:val="363E19E6"/>
    <w:rsid w:val="4CE4545C"/>
    <w:rsid w:val="596D2336"/>
    <w:rsid w:val="5D0336DD"/>
    <w:rsid w:val="5EA54167"/>
    <w:rsid w:val="6C2C42D2"/>
    <w:rsid w:val="7B9B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